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AA109D" w14:textId="36746ABB" w:rsidR="00DE3C06" w:rsidRDefault="00DE3C06" w:rsidP="00DE3C06">
      <w:pPr>
        <w:jc w:val="center"/>
      </w:pPr>
      <w:r>
        <w:rPr>
          <w:noProof/>
          <w:lang w:eastAsia="es-CO"/>
        </w:rPr>
        <w:drawing>
          <wp:anchor distT="0" distB="0" distL="114300" distR="114300" simplePos="0" relativeHeight="251659264" behindDoc="1" locked="0" layoutInCell="1" allowOverlap="1" wp14:anchorId="34C1F117" wp14:editId="7267DD08">
            <wp:simplePos x="0" y="0"/>
            <wp:positionH relativeFrom="page">
              <wp:align>right</wp:align>
            </wp:positionH>
            <wp:positionV relativeFrom="paragraph">
              <wp:posOffset>-1363980</wp:posOffset>
            </wp:positionV>
            <wp:extent cx="7953555" cy="10040620"/>
            <wp:effectExtent l="0" t="0" r="9525" b="0"/>
            <wp:wrapNone/>
            <wp:docPr id="1648140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1401" name="Picture 16481401"/>
                    <pic:cNvPicPr/>
                  </pic:nvPicPr>
                  <pic:blipFill>
                    <a:blip r:embed="rId7">
                      <a:extLst>
                        <a:ext uri="{28A0092B-C50C-407E-A947-70E740481C1C}">
                          <a14:useLocalDpi xmlns:a14="http://schemas.microsoft.com/office/drawing/2010/main"/>
                        </a:ext>
                      </a:extLst>
                    </a:blip>
                    <a:stretch>
                      <a:fillRect/>
                    </a:stretch>
                  </pic:blipFill>
                  <pic:spPr>
                    <a:xfrm>
                      <a:off x="0" y="0"/>
                      <a:ext cx="7953555" cy="10040620"/>
                    </a:xfrm>
                    <a:prstGeom prst="rect">
                      <a:avLst/>
                    </a:prstGeom>
                  </pic:spPr>
                </pic:pic>
              </a:graphicData>
            </a:graphic>
            <wp14:sizeRelH relativeFrom="page">
              <wp14:pctWidth>0</wp14:pctWidth>
            </wp14:sizeRelH>
            <wp14:sizeRelV relativeFrom="page">
              <wp14:pctHeight>0</wp14:pctHeight>
            </wp14:sizeRelV>
          </wp:anchor>
        </w:drawing>
      </w:r>
    </w:p>
    <w:p w14:paraId="6F4C355E" w14:textId="139AD89B" w:rsidR="00DE3C06" w:rsidRDefault="00DE3C06" w:rsidP="00DE3C06">
      <w:pPr>
        <w:jc w:val="center"/>
      </w:pPr>
      <w:bookmarkStart w:id="0" w:name="_Hlk229652400"/>
      <w:bookmarkEnd w:id="0"/>
    </w:p>
    <w:p w14:paraId="59A84B49" w14:textId="77777777" w:rsidR="00DE3C06" w:rsidRDefault="00DE3C06" w:rsidP="00DE3C06">
      <w:pPr>
        <w:jc w:val="center"/>
      </w:pPr>
    </w:p>
    <w:p w14:paraId="285D1E57" w14:textId="77777777" w:rsidR="00DE3C06" w:rsidRDefault="00DE3C06" w:rsidP="00DE3C06">
      <w:pPr>
        <w:jc w:val="center"/>
      </w:pPr>
    </w:p>
    <w:p w14:paraId="1761BBE3" w14:textId="77777777" w:rsidR="00DE3C06" w:rsidRDefault="00DE3C06" w:rsidP="00DE3C06">
      <w:pPr>
        <w:jc w:val="center"/>
      </w:pPr>
    </w:p>
    <w:p w14:paraId="1B71A37F" w14:textId="77777777" w:rsidR="00DE3C06" w:rsidRDefault="00DE3C06" w:rsidP="00DE3C06">
      <w:pPr>
        <w:jc w:val="center"/>
      </w:pPr>
    </w:p>
    <w:p w14:paraId="719A032B" w14:textId="77777777" w:rsidR="00DE3C06" w:rsidRDefault="00DE3C06" w:rsidP="00DE3C06">
      <w:pPr>
        <w:jc w:val="center"/>
      </w:pPr>
      <w:r>
        <w:br w:type="page"/>
      </w:r>
    </w:p>
    <w:sdt>
      <w:sdtPr>
        <w:rPr>
          <w:rFonts w:asciiTheme="minorHAnsi" w:eastAsiaTheme="minorEastAsia" w:hAnsiTheme="minorHAnsi" w:cs="Tahoma"/>
          <w:color w:val="auto"/>
          <w:kern w:val="2"/>
          <w:sz w:val="22"/>
          <w:szCs w:val="22"/>
          <w:lang w:val="es-ES" w:eastAsia="en-US"/>
          <w14:ligatures w14:val="standardContextual"/>
        </w:rPr>
        <w:id w:val="493610594"/>
        <w:docPartObj>
          <w:docPartGallery w:val="Table of Contents"/>
          <w:docPartUnique/>
        </w:docPartObj>
      </w:sdtPr>
      <w:sdtEndPr>
        <w:rPr>
          <w:b/>
          <w:bCs/>
          <w:lang w:val="es-CO"/>
        </w:rPr>
      </w:sdtEndPr>
      <w:sdtContent>
        <w:p w14:paraId="3C788620" w14:textId="77777777" w:rsidR="00DE3C06" w:rsidRPr="000C5171" w:rsidRDefault="00DE3C06" w:rsidP="00DE3C06">
          <w:pPr>
            <w:pStyle w:val="TtuloTDC"/>
            <w:spacing w:line="276" w:lineRule="auto"/>
            <w:rPr>
              <w:rFonts w:asciiTheme="minorHAnsi" w:hAnsiTheme="minorHAnsi" w:cs="Tahoma"/>
              <w:sz w:val="22"/>
              <w:szCs w:val="22"/>
            </w:rPr>
          </w:pPr>
          <w:r w:rsidRPr="000C5171">
            <w:rPr>
              <w:rFonts w:asciiTheme="minorHAnsi" w:hAnsiTheme="minorHAnsi" w:cs="Tahoma"/>
              <w:sz w:val="22"/>
              <w:szCs w:val="22"/>
              <w:lang w:val="es-ES"/>
            </w:rPr>
            <w:t>Tabla de contenido</w:t>
          </w:r>
        </w:p>
        <w:p w14:paraId="76BE5D0D" w14:textId="77777777" w:rsidR="00DE3C06" w:rsidRDefault="00DE3C06" w:rsidP="00DE3C06">
          <w:pPr>
            <w:pStyle w:val="TDC1"/>
            <w:tabs>
              <w:tab w:val="left" w:pos="440"/>
              <w:tab w:val="right" w:leader="dot" w:pos="9016"/>
            </w:tabs>
            <w:rPr>
              <w:rFonts w:eastAsiaTheme="minorEastAsia"/>
              <w:noProof/>
              <w:sz w:val="22"/>
              <w:szCs w:val="22"/>
              <w:lang w:val="es-CO" w:eastAsia="es-CO"/>
            </w:rPr>
          </w:pPr>
          <w:r w:rsidRPr="000C5171">
            <w:rPr>
              <w:rFonts w:cs="Tahoma"/>
              <w:sz w:val="22"/>
              <w:szCs w:val="22"/>
            </w:rPr>
            <w:fldChar w:fldCharType="begin"/>
          </w:r>
          <w:r w:rsidRPr="000C5171">
            <w:rPr>
              <w:rFonts w:cs="Tahoma"/>
              <w:sz w:val="22"/>
              <w:szCs w:val="22"/>
            </w:rPr>
            <w:instrText>TOC \o "1-3" \z \u \h</w:instrText>
          </w:r>
          <w:r w:rsidRPr="000C5171">
            <w:rPr>
              <w:rFonts w:cs="Tahoma"/>
              <w:sz w:val="22"/>
              <w:szCs w:val="22"/>
            </w:rPr>
            <w:fldChar w:fldCharType="separate"/>
          </w:r>
          <w:hyperlink w:anchor="_Toc234168073" w:history="1">
            <w:r w:rsidRPr="002D6A59">
              <w:rPr>
                <w:rStyle w:val="Hipervnculo"/>
                <w:rFonts w:cs="Tahoma"/>
                <w:noProof/>
              </w:rPr>
              <w:t>1.</w:t>
            </w:r>
            <w:r>
              <w:rPr>
                <w:rFonts w:eastAsiaTheme="minorEastAsia"/>
                <w:noProof/>
                <w:sz w:val="22"/>
                <w:szCs w:val="22"/>
                <w:lang w:val="es-CO" w:eastAsia="es-CO"/>
              </w:rPr>
              <w:tab/>
            </w:r>
            <w:r w:rsidRPr="002D6A59">
              <w:rPr>
                <w:rStyle w:val="Hipervnculo"/>
                <w:rFonts w:cs="Tahoma"/>
                <w:noProof/>
              </w:rPr>
              <w:t>INTRODUCCIÓN</w:t>
            </w:r>
            <w:r>
              <w:rPr>
                <w:noProof/>
                <w:webHidden/>
              </w:rPr>
              <w:tab/>
            </w:r>
            <w:r>
              <w:rPr>
                <w:noProof/>
                <w:webHidden/>
              </w:rPr>
              <w:fldChar w:fldCharType="begin"/>
            </w:r>
            <w:r>
              <w:rPr>
                <w:noProof/>
                <w:webHidden/>
              </w:rPr>
              <w:instrText xml:space="preserve"> PAGEREF _Toc234168073 \h </w:instrText>
            </w:r>
            <w:r>
              <w:rPr>
                <w:noProof/>
                <w:webHidden/>
              </w:rPr>
            </w:r>
            <w:r>
              <w:rPr>
                <w:noProof/>
                <w:webHidden/>
              </w:rPr>
              <w:fldChar w:fldCharType="separate"/>
            </w:r>
            <w:r>
              <w:rPr>
                <w:noProof/>
                <w:webHidden/>
              </w:rPr>
              <w:t>4</w:t>
            </w:r>
            <w:r>
              <w:rPr>
                <w:noProof/>
                <w:webHidden/>
              </w:rPr>
              <w:fldChar w:fldCharType="end"/>
            </w:r>
          </w:hyperlink>
        </w:p>
        <w:p w14:paraId="0004BD5A" w14:textId="77777777" w:rsidR="00DE3C06" w:rsidRDefault="00000000" w:rsidP="00DE3C06">
          <w:pPr>
            <w:pStyle w:val="TDC1"/>
            <w:tabs>
              <w:tab w:val="left" w:pos="440"/>
              <w:tab w:val="right" w:leader="dot" w:pos="9016"/>
            </w:tabs>
            <w:rPr>
              <w:rFonts w:eastAsiaTheme="minorEastAsia"/>
              <w:noProof/>
              <w:sz w:val="22"/>
              <w:szCs w:val="22"/>
              <w:lang w:val="es-CO" w:eastAsia="es-CO"/>
            </w:rPr>
          </w:pPr>
          <w:hyperlink w:anchor="_Toc234168074" w:history="1">
            <w:r w:rsidR="00DE3C06" w:rsidRPr="002D6A59">
              <w:rPr>
                <w:rStyle w:val="Hipervnculo"/>
                <w:rFonts w:cs="Tahoma"/>
                <w:noProof/>
              </w:rPr>
              <w:t>2.</w:t>
            </w:r>
            <w:r w:rsidR="00DE3C06">
              <w:rPr>
                <w:rFonts w:eastAsiaTheme="minorEastAsia"/>
                <w:noProof/>
                <w:sz w:val="22"/>
                <w:szCs w:val="22"/>
                <w:lang w:val="es-CO" w:eastAsia="es-CO"/>
              </w:rPr>
              <w:tab/>
            </w:r>
            <w:r w:rsidR="00DE3C06" w:rsidRPr="002D6A59">
              <w:rPr>
                <w:rStyle w:val="Hipervnculo"/>
                <w:rFonts w:cs="Tahoma"/>
                <w:noProof/>
              </w:rPr>
              <w:t>SECTOR ADMINISTRATIVO Y ESTRUCTURA DE LA ENTIDAD</w:t>
            </w:r>
            <w:r w:rsidR="00DE3C06">
              <w:rPr>
                <w:noProof/>
                <w:webHidden/>
              </w:rPr>
              <w:tab/>
            </w:r>
            <w:r w:rsidR="00DE3C06">
              <w:rPr>
                <w:noProof/>
                <w:webHidden/>
              </w:rPr>
              <w:fldChar w:fldCharType="begin"/>
            </w:r>
            <w:r w:rsidR="00DE3C06">
              <w:rPr>
                <w:noProof/>
                <w:webHidden/>
              </w:rPr>
              <w:instrText xml:space="preserve"> PAGEREF _Toc234168074 \h </w:instrText>
            </w:r>
            <w:r w:rsidR="00DE3C06">
              <w:rPr>
                <w:noProof/>
                <w:webHidden/>
              </w:rPr>
            </w:r>
            <w:r w:rsidR="00DE3C06">
              <w:rPr>
                <w:noProof/>
                <w:webHidden/>
              </w:rPr>
              <w:fldChar w:fldCharType="separate"/>
            </w:r>
            <w:r w:rsidR="00DE3C06">
              <w:rPr>
                <w:noProof/>
                <w:webHidden/>
              </w:rPr>
              <w:t>8</w:t>
            </w:r>
            <w:r w:rsidR="00DE3C06">
              <w:rPr>
                <w:noProof/>
                <w:webHidden/>
              </w:rPr>
              <w:fldChar w:fldCharType="end"/>
            </w:r>
          </w:hyperlink>
        </w:p>
        <w:p w14:paraId="50E0E276" w14:textId="77777777" w:rsidR="00DE3C06" w:rsidRDefault="00000000" w:rsidP="00DE3C06">
          <w:pPr>
            <w:pStyle w:val="TDC1"/>
            <w:tabs>
              <w:tab w:val="left" w:pos="440"/>
              <w:tab w:val="right" w:leader="dot" w:pos="9016"/>
            </w:tabs>
            <w:rPr>
              <w:rFonts w:eastAsiaTheme="minorEastAsia"/>
              <w:noProof/>
              <w:sz w:val="22"/>
              <w:szCs w:val="22"/>
              <w:lang w:val="es-CO" w:eastAsia="es-CO"/>
            </w:rPr>
          </w:pPr>
          <w:hyperlink w:anchor="_Toc234168075" w:history="1">
            <w:r w:rsidR="00DE3C06" w:rsidRPr="002D6A59">
              <w:rPr>
                <w:rStyle w:val="Hipervnculo"/>
                <w:rFonts w:cs="Tahoma"/>
                <w:noProof/>
              </w:rPr>
              <w:t>3.</w:t>
            </w:r>
            <w:r w:rsidR="00DE3C06">
              <w:rPr>
                <w:rFonts w:eastAsiaTheme="minorEastAsia"/>
                <w:noProof/>
                <w:sz w:val="22"/>
                <w:szCs w:val="22"/>
                <w:lang w:val="es-CO" w:eastAsia="es-CO"/>
              </w:rPr>
              <w:tab/>
            </w:r>
            <w:r w:rsidR="00DE3C06" w:rsidRPr="002D6A59">
              <w:rPr>
                <w:rStyle w:val="Hipervnculo"/>
                <w:rFonts w:cs="Tahoma"/>
                <w:noProof/>
              </w:rPr>
              <w:t>NORMATIVIDAD</w:t>
            </w:r>
            <w:r w:rsidR="00DE3C06">
              <w:rPr>
                <w:noProof/>
                <w:webHidden/>
              </w:rPr>
              <w:tab/>
            </w:r>
            <w:r w:rsidR="00DE3C06">
              <w:rPr>
                <w:noProof/>
                <w:webHidden/>
              </w:rPr>
              <w:fldChar w:fldCharType="begin"/>
            </w:r>
            <w:r w:rsidR="00DE3C06">
              <w:rPr>
                <w:noProof/>
                <w:webHidden/>
              </w:rPr>
              <w:instrText xml:space="preserve"> PAGEREF _Toc234168075 \h </w:instrText>
            </w:r>
            <w:r w:rsidR="00DE3C06">
              <w:rPr>
                <w:noProof/>
                <w:webHidden/>
              </w:rPr>
            </w:r>
            <w:r w:rsidR="00DE3C06">
              <w:rPr>
                <w:noProof/>
                <w:webHidden/>
              </w:rPr>
              <w:fldChar w:fldCharType="separate"/>
            </w:r>
            <w:r w:rsidR="00DE3C06">
              <w:rPr>
                <w:noProof/>
                <w:webHidden/>
              </w:rPr>
              <w:t>11</w:t>
            </w:r>
            <w:r w:rsidR="00DE3C06">
              <w:rPr>
                <w:noProof/>
                <w:webHidden/>
              </w:rPr>
              <w:fldChar w:fldCharType="end"/>
            </w:r>
          </w:hyperlink>
        </w:p>
        <w:p w14:paraId="5E5CAE9F" w14:textId="77777777" w:rsidR="00DE3C06" w:rsidRDefault="00000000" w:rsidP="00DE3C06">
          <w:pPr>
            <w:pStyle w:val="TDC1"/>
            <w:tabs>
              <w:tab w:val="left" w:pos="440"/>
              <w:tab w:val="right" w:leader="dot" w:pos="9016"/>
            </w:tabs>
            <w:rPr>
              <w:rFonts w:eastAsiaTheme="minorEastAsia"/>
              <w:noProof/>
              <w:sz w:val="22"/>
              <w:szCs w:val="22"/>
              <w:lang w:val="es-CO" w:eastAsia="es-CO"/>
            </w:rPr>
          </w:pPr>
          <w:hyperlink w:anchor="_Toc234168076" w:history="1">
            <w:r w:rsidR="00DE3C06" w:rsidRPr="002D6A59">
              <w:rPr>
                <w:rStyle w:val="Hipervnculo"/>
                <w:rFonts w:cs="Tahoma"/>
                <w:noProof/>
              </w:rPr>
              <w:t>4.</w:t>
            </w:r>
            <w:r w:rsidR="00DE3C06">
              <w:rPr>
                <w:rFonts w:eastAsiaTheme="minorEastAsia"/>
                <w:noProof/>
                <w:sz w:val="22"/>
                <w:szCs w:val="22"/>
                <w:lang w:val="es-CO" w:eastAsia="es-CO"/>
              </w:rPr>
              <w:tab/>
            </w:r>
            <w:r w:rsidR="00DE3C06" w:rsidRPr="002D6A59">
              <w:rPr>
                <w:rStyle w:val="Hipervnculo"/>
                <w:rFonts w:cs="Tahoma"/>
                <w:noProof/>
              </w:rPr>
              <w:t>REGLAMENTOS, MANUALES DE ORGANIZACIÓN, DE PROCEDIMIENTOS</w:t>
            </w:r>
            <w:r w:rsidR="00DE3C06">
              <w:rPr>
                <w:noProof/>
                <w:webHidden/>
              </w:rPr>
              <w:tab/>
            </w:r>
            <w:r w:rsidR="00DE3C06">
              <w:rPr>
                <w:noProof/>
                <w:webHidden/>
              </w:rPr>
              <w:fldChar w:fldCharType="begin"/>
            </w:r>
            <w:r w:rsidR="00DE3C06">
              <w:rPr>
                <w:noProof/>
                <w:webHidden/>
              </w:rPr>
              <w:instrText xml:space="preserve"> PAGEREF _Toc234168076 \h </w:instrText>
            </w:r>
            <w:r w:rsidR="00DE3C06">
              <w:rPr>
                <w:noProof/>
                <w:webHidden/>
              </w:rPr>
            </w:r>
            <w:r w:rsidR="00DE3C06">
              <w:rPr>
                <w:noProof/>
                <w:webHidden/>
              </w:rPr>
              <w:fldChar w:fldCharType="separate"/>
            </w:r>
            <w:r w:rsidR="00DE3C06">
              <w:rPr>
                <w:noProof/>
                <w:webHidden/>
              </w:rPr>
              <w:t>12</w:t>
            </w:r>
            <w:r w:rsidR="00DE3C06">
              <w:rPr>
                <w:noProof/>
                <w:webHidden/>
              </w:rPr>
              <w:fldChar w:fldCharType="end"/>
            </w:r>
          </w:hyperlink>
        </w:p>
        <w:p w14:paraId="24A3E4BA" w14:textId="77777777" w:rsidR="00DE3C06" w:rsidRDefault="00000000" w:rsidP="00DE3C06">
          <w:pPr>
            <w:pStyle w:val="TDC1"/>
            <w:tabs>
              <w:tab w:val="left" w:pos="440"/>
              <w:tab w:val="right" w:leader="dot" w:pos="9016"/>
            </w:tabs>
            <w:rPr>
              <w:rFonts w:eastAsiaTheme="minorEastAsia"/>
              <w:noProof/>
              <w:sz w:val="22"/>
              <w:szCs w:val="22"/>
              <w:lang w:val="es-CO" w:eastAsia="es-CO"/>
            </w:rPr>
          </w:pPr>
          <w:hyperlink w:anchor="_Toc234168077" w:history="1">
            <w:r w:rsidR="00DE3C06" w:rsidRPr="002D6A59">
              <w:rPr>
                <w:rStyle w:val="Hipervnculo"/>
                <w:rFonts w:cs="Tahoma"/>
                <w:noProof/>
              </w:rPr>
              <w:t>5.</w:t>
            </w:r>
            <w:r w:rsidR="00DE3C06">
              <w:rPr>
                <w:rFonts w:eastAsiaTheme="minorEastAsia"/>
                <w:noProof/>
                <w:sz w:val="22"/>
                <w:szCs w:val="22"/>
                <w:lang w:val="es-CO" w:eastAsia="es-CO"/>
              </w:rPr>
              <w:tab/>
            </w:r>
            <w:r w:rsidR="00DE3C06" w:rsidRPr="002D6A59">
              <w:rPr>
                <w:rStyle w:val="Hipervnculo"/>
                <w:rFonts w:cs="Tahoma"/>
                <w:noProof/>
              </w:rPr>
              <w:t>INFORME DEL DESPACHO</w:t>
            </w:r>
            <w:r w:rsidR="00DE3C06">
              <w:rPr>
                <w:noProof/>
                <w:webHidden/>
              </w:rPr>
              <w:tab/>
            </w:r>
            <w:r w:rsidR="00DE3C06">
              <w:rPr>
                <w:noProof/>
                <w:webHidden/>
              </w:rPr>
              <w:fldChar w:fldCharType="begin"/>
            </w:r>
            <w:r w:rsidR="00DE3C06">
              <w:rPr>
                <w:noProof/>
                <w:webHidden/>
              </w:rPr>
              <w:instrText xml:space="preserve"> PAGEREF _Toc234168077 \h </w:instrText>
            </w:r>
            <w:r w:rsidR="00DE3C06">
              <w:rPr>
                <w:noProof/>
                <w:webHidden/>
              </w:rPr>
            </w:r>
            <w:r w:rsidR="00DE3C06">
              <w:rPr>
                <w:noProof/>
                <w:webHidden/>
              </w:rPr>
              <w:fldChar w:fldCharType="separate"/>
            </w:r>
            <w:r w:rsidR="00DE3C06">
              <w:rPr>
                <w:noProof/>
                <w:webHidden/>
              </w:rPr>
              <w:t>13</w:t>
            </w:r>
            <w:r w:rsidR="00DE3C06">
              <w:rPr>
                <w:noProof/>
                <w:webHidden/>
              </w:rPr>
              <w:fldChar w:fldCharType="end"/>
            </w:r>
          </w:hyperlink>
        </w:p>
        <w:p w14:paraId="3E8A7AAD" w14:textId="77777777" w:rsidR="00DE3C06" w:rsidRDefault="00000000" w:rsidP="00DE3C06">
          <w:pPr>
            <w:pStyle w:val="TDC1"/>
            <w:tabs>
              <w:tab w:val="right" w:leader="dot" w:pos="9016"/>
            </w:tabs>
            <w:rPr>
              <w:rFonts w:eastAsiaTheme="minorEastAsia"/>
              <w:noProof/>
              <w:sz w:val="22"/>
              <w:szCs w:val="22"/>
              <w:lang w:val="es-CO" w:eastAsia="es-CO"/>
            </w:rPr>
          </w:pPr>
          <w:hyperlink w:anchor="_Toc234168078" w:history="1">
            <w:r w:rsidR="00DE3C06" w:rsidRPr="002D6A59">
              <w:rPr>
                <w:rStyle w:val="Hipervnculo"/>
                <w:rFonts w:cs="Tahoma"/>
                <w:noProof/>
              </w:rPr>
              <w:t>5.1 Situación del despacho al frente de la entidad durante el periodo de gobierno.</w:t>
            </w:r>
            <w:r w:rsidR="00DE3C06">
              <w:rPr>
                <w:noProof/>
                <w:webHidden/>
              </w:rPr>
              <w:tab/>
            </w:r>
            <w:r w:rsidR="00DE3C06">
              <w:rPr>
                <w:noProof/>
                <w:webHidden/>
              </w:rPr>
              <w:fldChar w:fldCharType="begin"/>
            </w:r>
            <w:r w:rsidR="00DE3C06">
              <w:rPr>
                <w:noProof/>
                <w:webHidden/>
              </w:rPr>
              <w:instrText xml:space="preserve"> PAGEREF _Toc234168078 \h </w:instrText>
            </w:r>
            <w:r w:rsidR="00DE3C06">
              <w:rPr>
                <w:noProof/>
                <w:webHidden/>
              </w:rPr>
            </w:r>
            <w:r w:rsidR="00DE3C06">
              <w:rPr>
                <w:noProof/>
                <w:webHidden/>
              </w:rPr>
              <w:fldChar w:fldCharType="separate"/>
            </w:r>
            <w:r w:rsidR="00DE3C06">
              <w:rPr>
                <w:noProof/>
                <w:webHidden/>
              </w:rPr>
              <w:t>13</w:t>
            </w:r>
            <w:r w:rsidR="00DE3C06">
              <w:rPr>
                <w:noProof/>
                <w:webHidden/>
              </w:rPr>
              <w:fldChar w:fldCharType="end"/>
            </w:r>
          </w:hyperlink>
        </w:p>
        <w:p w14:paraId="61912725" w14:textId="77777777" w:rsidR="00DE3C06" w:rsidRDefault="00000000" w:rsidP="00DE3C06">
          <w:pPr>
            <w:pStyle w:val="TDC1"/>
            <w:tabs>
              <w:tab w:val="right" w:leader="dot" w:pos="9016"/>
            </w:tabs>
            <w:rPr>
              <w:rFonts w:eastAsiaTheme="minorEastAsia"/>
              <w:noProof/>
              <w:sz w:val="22"/>
              <w:szCs w:val="22"/>
              <w:lang w:val="es-CO" w:eastAsia="es-CO"/>
            </w:rPr>
          </w:pPr>
          <w:hyperlink w:anchor="_Toc234168079" w:history="1">
            <w:r w:rsidR="00DE3C06" w:rsidRPr="002D6A59">
              <w:rPr>
                <w:rStyle w:val="Hipervnculo"/>
                <w:rFonts w:cs="Tahoma"/>
                <w:noProof/>
              </w:rPr>
              <w:t>5.2 Antecedentes, Actividades emprendidas y resultados obtenidos</w:t>
            </w:r>
            <w:r w:rsidR="00DE3C06">
              <w:rPr>
                <w:noProof/>
                <w:webHidden/>
              </w:rPr>
              <w:tab/>
            </w:r>
            <w:r w:rsidR="00DE3C06">
              <w:rPr>
                <w:noProof/>
                <w:webHidden/>
              </w:rPr>
              <w:fldChar w:fldCharType="begin"/>
            </w:r>
            <w:r w:rsidR="00DE3C06">
              <w:rPr>
                <w:noProof/>
                <w:webHidden/>
              </w:rPr>
              <w:instrText xml:space="preserve"> PAGEREF _Toc234168079 \h </w:instrText>
            </w:r>
            <w:r w:rsidR="00DE3C06">
              <w:rPr>
                <w:noProof/>
                <w:webHidden/>
              </w:rPr>
            </w:r>
            <w:r w:rsidR="00DE3C06">
              <w:rPr>
                <w:noProof/>
                <w:webHidden/>
              </w:rPr>
              <w:fldChar w:fldCharType="separate"/>
            </w:r>
            <w:r w:rsidR="00DE3C06">
              <w:rPr>
                <w:noProof/>
                <w:webHidden/>
              </w:rPr>
              <w:t>14</w:t>
            </w:r>
            <w:r w:rsidR="00DE3C06">
              <w:rPr>
                <w:noProof/>
                <w:webHidden/>
              </w:rPr>
              <w:fldChar w:fldCharType="end"/>
            </w:r>
          </w:hyperlink>
        </w:p>
        <w:p w14:paraId="1897B0A7" w14:textId="77777777" w:rsidR="00DE3C06" w:rsidRDefault="00000000" w:rsidP="00DE3C06">
          <w:pPr>
            <w:pStyle w:val="TDC1"/>
            <w:tabs>
              <w:tab w:val="left" w:pos="440"/>
              <w:tab w:val="right" w:leader="dot" w:pos="9016"/>
            </w:tabs>
            <w:rPr>
              <w:rFonts w:eastAsiaTheme="minorEastAsia"/>
              <w:noProof/>
              <w:sz w:val="22"/>
              <w:szCs w:val="22"/>
              <w:lang w:val="es-CO" w:eastAsia="es-CO"/>
            </w:rPr>
          </w:pPr>
          <w:hyperlink w:anchor="_Toc234168080" w:history="1">
            <w:r w:rsidR="00DE3C06" w:rsidRPr="002D6A59">
              <w:rPr>
                <w:rStyle w:val="Hipervnculo"/>
                <w:rFonts w:cs="Tahoma"/>
                <w:noProof/>
              </w:rPr>
              <w:t>6.</w:t>
            </w:r>
            <w:r w:rsidR="00DE3C06">
              <w:rPr>
                <w:rFonts w:eastAsiaTheme="minorEastAsia"/>
                <w:noProof/>
                <w:sz w:val="22"/>
                <w:szCs w:val="22"/>
                <w:lang w:val="es-CO" w:eastAsia="es-CO"/>
              </w:rPr>
              <w:tab/>
            </w:r>
            <w:r w:rsidR="00DE3C06" w:rsidRPr="002D6A59">
              <w:rPr>
                <w:rStyle w:val="Hipervnculo"/>
                <w:rFonts w:cs="Tahoma"/>
                <w:noProof/>
              </w:rPr>
              <w:t>PLAN NACIONAL DE DESARROLLO 2022-2026, POLÍTICAS DE LARGO PLAZO Y PROYECTOS DE IMPORTANCIA ESTRATÉGICA</w:t>
            </w:r>
            <w:r w:rsidR="00DE3C06">
              <w:rPr>
                <w:noProof/>
                <w:webHidden/>
              </w:rPr>
              <w:tab/>
            </w:r>
            <w:r w:rsidR="00DE3C06">
              <w:rPr>
                <w:noProof/>
                <w:webHidden/>
              </w:rPr>
              <w:fldChar w:fldCharType="begin"/>
            </w:r>
            <w:r w:rsidR="00DE3C06">
              <w:rPr>
                <w:noProof/>
                <w:webHidden/>
              </w:rPr>
              <w:instrText xml:space="preserve"> PAGEREF _Toc234168080 \h </w:instrText>
            </w:r>
            <w:r w:rsidR="00DE3C06">
              <w:rPr>
                <w:noProof/>
                <w:webHidden/>
              </w:rPr>
            </w:r>
            <w:r w:rsidR="00DE3C06">
              <w:rPr>
                <w:noProof/>
                <w:webHidden/>
              </w:rPr>
              <w:fldChar w:fldCharType="separate"/>
            </w:r>
            <w:r w:rsidR="00DE3C06">
              <w:rPr>
                <w:noProof/>
                <w:webHidden/>
              </w:rPr>
              <w:t>28</w:t>
            </w:r>
            <w:r w:rsidR="00DE3C06">
              <w:rPr>
                <w:noProof/>
                <w:webHidden/>
              </w:rPr>
              <w:fldChar w:fldCharType="end"/>
            </w:r>
          </w:hyperlink>
        </w:p>
        <w:p w14:paraId="0E60B3F6" w14:textId="77777777" w:rsidR="00DE3C06" w:rsidRDefault="00000000" w:rsidP="00DE3C06">
          <w:pPr>
            <w:pStyle w:val="TDC1"/>
            <w:tabs>
              <w:tab w:val="right" w:leader="dot" w:pos="9016"/>
            </w:tabs>
            <w:rPr>
              <w:rFonts w:eastAsiaTheme="minorEastAsia"/>
              <w:noProof/>
              <w:sz w:val="22"/>
              <w:szCs w:val="22"/>
              <w:lang w:val="es-CO" w:eastAsia="es-CO"/>
            </w:rPr>
          </w:pPr>
          <w:hyperlink w:anchor="_Toc234168081" w:history="1">
            <w:r w:rsidR="00DE3C06" w:rsidRPr="002D6A59">
              <w:rPr>
                <w:rStyle w:val="Hipervnculo"/>
                <w:noProof/>
              </w:rPr>
              <w:t>6.1 Plan Nacional de Desarrollo 2022-2026</w:t>
            </w:r>
            <w:r w:rsidR="00DE3C06">
              <w:rPr>
                <w:noProof/>
                <w:webHidden/>
              </w:rPr>
              <w:tab/>
            </w:r>
            <w:r w:rsidR="00DE3C06">
              <w:rPr>
                <w:noProof/>
                <w:webHidden/>
              </w:rPr>
              <w:fldChar w:fldCharType="begin"/>
            </w:r>
            <w:r w:rsidR="00DE3C06">
              <w:rPr>
                <w:noProof/>
                <w:webHidden/>
              </w:rPr>
              <w:instrText xml:space="preserve"> PAGEREF _Toc234168081 \h </w:instrText>
            </w:r>
            <w:r w:rsidR="00DE3C06">
              <w:rPr>
                <w:noProof/>
                <w:webHidden/>
              </w:rPr>
            </w:r>
            <w:r w:rsidR="00DE3C06">
              <w:rPr>
                <w:noProof/>
                <w:webHidden/>
              </w:rPr>
              <w:fldChar w:fldCharType="separate"/>
            </w:r>
            <w:r w:rsidR="00DE3C06">
              <w:rPr>
                <w:noProof/>
                <w:webHidden/>
              </w:rPr>
              <w:t>28</w:t>
            </w:r>
            <w:r w:rsidR="00DE3C06">
              <w:rPr>
                <w:noProof/>
                <w:webHidden/>
              </w:rPr>
              <w:fldChar w:fldCharType="end"/>
            </w:r>
          </w:hyperlink>
        </w:p>
        <w:p w14:paraId="2EE4AE2C" w14:textId="77777777" w:rsidR="00DE3C06" w:rsidRDefault="00000000" w:rsidP="00DE3C06">
          <w:pPr>
            <w:pStyle w:val="TDC1"/>
            <w:tabs>
              <w:tab w:val="right" w:leader="dot" w:pos="9016"/>
            </w:tabs>
            <w:rPr>
              <w:rFonts w:eastAsiaTheme="minorEastAsia"/>
              <w:noProof/>
              <w:sz w:val="22"/>
              <w:szCs w:val="22"/>
              <w:lang w:val="es-CO" w:eastAsia="es-CO"/>
            </w:rPr>
          </w:pPr>
          <w:hyperlink w:anchor="_Toc234168082" w:history="1">
            <w:r w:rsidR="00DE3C06" w:rsidRPr="002D6A59">
              <w:rPr>
                <w:rStyle w:val="Hipervnculo"/>
                <w:rFonts w:cs="Tahoma"/>
                <w:noProof/>
              </w:rPr>
              <w:t>6.2 Acuerdos con comunidades étnicas</w:t>
            </w:r>
            <w:r w:rsidR="00DE3C06">
              <w:rPr>
                <w:noProof/>
                <w:webHidden/>
              </w:rPr>
              <w:tab/>
            </w:r>
            <w:r w:rsidR="00DE3C06">
              <w:rPr>
                <w:noProof/>
                <w:webHidden/>
              </w:rPr>
              <w:fldChar w:fldCharType="begin"/>
            </w:r>
            <w:r w:rsidR="00DE3C06">
              <w:rPr>
                <w:noProof/>
                <w:webHidden/>
              </w:rPr>
              <w:instrText xml:space="preserve"> PAGEREF _Toc234168082 \h </w:instrText>
            </w:r>
            <w:r w:rsidR="00DE3C06">
              <w:rPr>
                <w:noProof/>
                <w:webHidden/>
              </w:rPr>
            </w:r>
            <w:r w:rsidR="00DE3C06">
              <w:rPr>
                <w:noProof/>
                <w:webHidden/>
              </w:rPr>
              <w:fldChar w:fldCharType="separate"/>
            </w:r>
            <w:r w:rsidR="00DE3C06">
              <w:rPr>
                <w:noProof/>
                <w:webHidden/>
              </w:rPr>
              <w:t>30</w:t>
            </w:r>
            <w:r w:rsidR="00DE3C06">
              <w:rPr>
                <w:noProof/>
                <w:webHidden/>
              </w:rPr>
              <w:fldChar w:fldCharType="end"/>
            </w:r>
          </w:hyperlink>
        </w:p>
        <w:p w14:paraId="15FAA49B" w14:textId="77777777" w:rsidR="00DE3C06" w:rsidRDefault="00000000" w:rsidP="00DE3C06">
          <w:pPr>
            <w:pStyle w:val="TDC1"/>
            <w:tabs>
              <w:tab w:val="right" w:leader="dot" w:pos="9016"/>
            </w:tabs>
            <w:rPr>
              <w:rFonts w:eastAsiaTheme="minorEastAsia"/>
              <w:noProof/>
              <w:sz w:val="22"/>
              <w:szCs w:val="22"/>
              <w:lang w:val="es-CO" w:eastAsia="es-CO"/>
            </w:rPr>
          </w:pPr>
          <w:hyperlink w:anchor="_Toc234168083" w:history="1">
            <w:r w:rsidR="00DE3C06" w:rsidRPr="002D6A59">
              <w:rPr>
                <w:rStyle w:val="Hipervnculo"/>
                <w:rFonts w:cs="Tahoma"/>
                <w:noProof/>
              </w:rPr>
              <w:t>6.3 Proceso de Paz</w:t>
            </w:r>
            <w:r w:rsidR="00DE3C06">
              <w:rPr>
                <w:noProof/>
                <w:webHidden/>
              </w:rPr>
              <w:tab/>
            </w:r>
            <w:r w:rsidR="00DE3C06">
              <w:rPr>
                <w:noProof/>
                <w:webHidden/>
              </w:rPr>
              <w:fldChar w:fldCharType="begin"/>
            </w:r>
            <w:r w:rsidR="00DE3C06">
              <w:rPr>
                <w:noProof/>
                <w:webHidden/>
              </w:rPr>
              <w:instrText xml:space="preserve"> PAGEREF _Toc234168083 \h </w:instrText>
            </w:r>
            <w:r w:rsidR="00DE3C06">
              <w:rPr>
                <w:noProof/>
                <w:webHidden/>
              </w:rPr>
            </w:r>
            <w:r w:rsidR="00DE3C06">
              <w:rPr>
                <w:noProof/>
                <w:webHidden/>
              </w:rPr>
              <w:fldChar w:fldCharType="separate"/>
            </w:r>
            <w:r w:rsidR="00DE3C06">
              <w:rPr>
                <w:noProof/>
                <w:webHidden/>
              </w:rPr>
              <w:t>32</w:t>
            </w:r>
            <w:r w:rsidR="00DE3C06">
              <w:rPr>
                <w:noProof/>
                <w:webHidden/>
              </w:rPr>
              <w:fldChar w:fldCharType="end"/>
            </w:r>
          </w:hyperlink>
        </w:p>
        <w:p w14:paraId="4B8980E3" w14:textId="77777777" w:rsidR="00DE3C06" w:rsidRDefault="00000000" w:rsidP="00DE3C06">
          <w:pPr>
            <w:pStyle w:val="TDC1"/>
            <w:tabs>
              <w:tab w:val="left" w:pos="660"/>
              <w:tab w:val="right" w:leader="dot" w:pos="9016"/>
            </w:tabs>
            <w:rPr>
              <w:rFonts w:eastAsiaTheme="minorEastAsia"/>
              <w:noProof/>
              <w:sz w:val="22"/>
              <w:szCs w:val="22"/>
              <w:lang w:val="es-CO" w:eastAsia="es-CO"/>
            </w:rPr>
          </w:pPr>
          <w:hyperlink w:anchor="_Toc234168084" w:history="1">
            <w:r w:rsidR="00DE3C06" w:rsidRPr="002D6A59">
              <w:rPr>
                <w:rStyle w:val="Hipervnculo"/>
                <w:rFonts w:cs="Tahoma"/>
                <w:noProof/>
              </w:rPr>
              <w:t>6.4</w:t>
            </w:r>
            <w:r w:rsidR="00DE3C06">
              <w:rPr>
                <w:rFonts w:eastAsiaTheme="minorEastAsia"/>
                <w:noProof/>
                <w:sz w:val="22"/>
                <w:szCs w:val="22"/>
                <w:lang w:val="es-CO" w:eastAsia="es-CO"/>
              </w:rPr>
              <w:tab/>
            </w:r>
            <w:r w:rsidR="00DE3C06" w:rsidRPr="002D6A59">
              <w:rPr>
                <w:rStyle w:val="Hipervnculo"/>
                <w:rFonts w:cs="Tahoma"/>
                <w:noProof/>
              </w:rPr>
              <w:t>Políticas de mediano y largo plazo</w:t>
            </w:r>
            <w:r w:rsidR="00DE3C06">
              <w:rPr>
                <w:noProof/>
                <w:webHidden/>
              </w:rPr>
              <w:tab/>
            </w:r>
            <w:r w:rsidR="00DE3C06">
              <w:rPr>
                <w:noProof/>
                <w:webHidden/>
              </w:rPr>
              <w:fldChar w:fldCharType="begin"/>
            </w:r>
            <w:r w:rsidR="00DE3C06">
              <w:rPr>
                <w:noProof/>
                <w:webHidden/>
              </w:rPr>
              <w:instrText xml:space="preserve"> PAGEREF _Toc234168084 \h </w:instrText>
            </w:r>
            <w:r w:rsidR="00DE3C06">
              <w:rPr>
                <w:noProof/>
                <w:webHidden/>
              </w:rPr>
            </w:r>
            <w:r w:rsidR="00DE3C06">
              <w:rPr>
                <w:noProof/>
                <w:webHidden/>
              </w:rPr>
              <w:fldChar w:fldCharType="separate"/>
            </w:r>
            <w:r w:rsidR="00DE3C06">
              <w:rPr>
                <w:noProof/>
                <w:webHidden/>
              </w:rPr>
              <w:t>34</w:t>
            </w:r>
            <w:r w:rsidR="00DE3C06">
              <w:rPr>
                <w:noProof/>
                <w:webHidden/>
              </w:rPr>
              <w:fldChar w:fldCharType="end"/>
            </w:r>
          </w:hyperlink>
        </w:p>
        <w:p w14:paraId="75224F3E" w14:textId="77777777" w:rsidR="00DE3C06" w:rsidRDefault="00000000" w:rsidP="00DE3C06">
          <w:pPr>
            <w:pStyle w:val="TDC1"/>
            <w:tabs>
              <w:tab w:val="right" w:leader="dot" w:pos="9016"/>
            </w:tabs>
            <w:rPr>
              <w:rFonts w:eastAsiaTheme="minorEastAsia"/>
              <w:noProof/>
              <w:sz w:val="22"/>
              <w:szCs w:val="22"/>
              <w:lang w:val="es-CO" w:eastAsia="es-CO"/>
            </w:rPr>
          </w:pPr>
          <w:hyperlink w:anchor="_Toc234168085" w:history="1">
            <w:r w:rsidR="00DE3C06" w:rsidRPr="002D6A59">
              <w:rPr>
                <w:rStyle w:val="Hipervnculo"/>
                <w:rFonts w:cs="Tahoma"/>
                <w:noProof/>
              </w:rPr>
              <w:t>6.5 Proyectos de Interés Nacional y Estratégico - PINES- y los proyectos con Declaración de Importancia Estratégica -DIE-</w:t>
            </w:r>
            <w:r w:rsidR="00DE3C06">
              <w:rPr>
                <w:noProof/>
                <w:webHidden/>
              </w:rPr>
              <w:tab/>
            </w:r>
            <w:r w:rsidR="00DE3C06">
              <w:rPr>
                <w:noProof/>
                <w:webHidden/>
              </w:rPr>
              <w:fldChar w:fldCharType="begin"/>
            </w:r>
            <w:r w:rsidR="00DE3C06">
              <w:rPr>
                <w:noProof/>
                <w:webHidden/>
              </w:rPr>
              <w:instrText xml:space="preserve"> PAGEREF _Toc234168085 \h </w:instrText>
            </w:r>
            <w:r w:rsidR="00DE3C06">
              <w:rPr>
                <w:noProof/>
                <w:webHidden/>
              </w:rPr>
            </w:r>
            <w:r w:rsidR="00DE3C06">
              <w:rPr>
                <w:noProof/>
                <w:webHidden/>
              </w:rPr>
              <w:fldChar w:fldCharType="separate"/>
            </w:r>
            <w:r w:rsidR="00DE3C06">
              <w:rPr>
                <w:noProof/>
                <w:webHidden/>
              </w:rPr>
              <w:t>35</w:t>
            </w:r>
            <w:r w:rsidR="00DE3C06">
              <w:rPr>
                <w:noProof/>
                <w:webHidden/>
              </w:rPr>
              <w:fldChar w:fldCharType="end"/>
            </w:r>
          </w:hyperlink>
        </w:p>
        <w:p w14:paraId="4046E201" w14:textId="77777777" w:rsidR="00DE3C06" w:rsidRDefault="00000000" w:rsidP="00DE3C06">
          <w:pPr>
            <w:pStyle w:val="TDC1"/>
            <w:tabs>
              <w:tab w:val="right" w:leader="dot" w:pos="9016"/>
            </w:tabs>
            <w:rPr>
              <w:rFonts w:eastAsiaTheme="minorEastAsia"/>
              <w:noProof/>
              <w:sz w:val="22"/>
              <w:szCs w:val="22"/>
              <w:lang w:val="es-CO" w:eastAsia="es-CO"/>
            </w:rPr>
          </w:pPr>
          <w:hyperlink w:anchor="_Toc234168086" w:history="1">
            <w:r w:rsidR="00DE3C06" w:rsidRPr="002D6A59">
              <w:rPr>
                <w:rStyle w:val="Hipervnculo"/>
                <w:rFonts w:cs="Tahoma"/>
                <w:noProof/>
              </w:rPr>
              <w:t>6.6 Otras políticas de mediano y largo plazo</w:t>
            </w:r>
            <w:r w:rsidR="00DE3C06">
              <w:rPr>
                <w:noProof/>
                <w:webHidden/>
              </w:rPr>
              <w:tab/>
            </w:r>
            <w:r w:rsidR="00DE3C06">
              <w:rPr>
                <w:noProof/>
                <w:webHidden/>
              </w:rPr>
              <w:fldChar w:fldCharType="begin"/>
            </w:r>
            <w:r w:rsidR="00DE3C06">
              <w:rPr>
                <w:noProof/>
                <w:webHidden/>
              </w:rPr>
              <w:instrText xml:space="preserve"> PAGEREF _Toc234168086 \h </w:instrText>
            </w:r>
            <w:r w:rsidR="00DE3C06">
              <w:rPr>
                <w:noProof/>
                <w:webHidden/>
              </w:rPr>
            </w:r>
            <w:r w:rsidR="00DE3C06">
              <w:rPr>
                <w:noProof/>
                <w:webHidden/>
              </w:rPr>
              <w:fldChar w:fldCharType="separate"/>
            </w:r>
            <w:r w:rsidR="00DE3C06">
              <w:rPr>
                <w:noProof/>
                <w:webHidden/>
              </w:rPr>
              <w:t>35</w:t>
            </w:r>
            <w:r w:rsidR="00DE3C06">
              <w:rPr>
                <w:noProof/>
                <w:webHidden/>
              </w:rPr>
              <w:fldChar w:fldCharType="end"/>
            </w:r>
          </w:hyperlink>
        </w:p>
        <w:p w14:paraId="7A590A2A" w14:textId="77777777" w:rsidR="00DE3C06" w:rsidRDefault="00000000" w:rsidP="00DE3C06">
          <w:pPr>
            <w:pStyle w:val="TDC1"/>
            <w:tabs>
              <w:tab w:val="left" w:pos="440"/>
              <w:tab w:val="right" w:leader="dot" w:pos="9016"/>
            </w:tabs>
            <w:rPr>
              <w:rFonts w:eastAsiaTheme="minorEastAsia"/>
              <w:noProof/>
              <w:sz w:val="22"/>
              <w:szCs w:val="22"/>
              <w:lang w:val="es-CO" w:eastAsia="es-CO"/>
            </w:rPr>
          </w:pPr>
          <w:hyperlink w:anchor="_Toc234168087" w:history="1">
            <w:r w:rsidR="00DE3C06" w:rsidRPr="002D6A59">
              <w:rPr>
                <w:rStyle w:val="Hipervnculo"/>
                <w:rFonts w:cs="Tahoma"/>
                <w:noProof/>
              </w:rPr>
              <w:t>7.</w:t>
            </w:r>
            <w:r w:rsidR="00DE3C06">
              <w:rPr>
                <w:rFonts w:eastAsiaTheme="minorEastAsia"/>
                <w:noProof/>
                <w:sz w:val="22"/>
                <w:szCs w:val="22"/>
                <w:lang w:val="es-CO" w:eastAsia="es-CO"/>
              </w:rPr>
              <w:tab/>
            </w:r>
            <w:r w:rsidR="00DE3C06" w:rsidRPr="002D6A59">
              <w:rPr>
                <w:rStyle w:val="Hipervnculo"/>
                <w:rFonts w:cs="Tahoma"/>
                <w:noProof/>
              </w:rPr>
              <w:t>EJECUCIONES PRESUPUESTALES Y SITUACIÓN DE LOS RECURSOS</w:t>
            </w:r>
            <w:r w:rsidR="00DE3C06">
              <w:rPr>
                <w:noProof/>
                <w:webHidden/>
              </w:rPr>
              <w:tab/>
            </w:r>
            <w:r w:rsidR="00DE3C06">
              <w:rPr>
                <w:noProof/>
                <w:webHidden/>
              </w:rPr>
              <w:fldChar w:fldCharType="begin"/>
            </w:r>
            <w:r w:rsidR="00DE3C06">
              <w:rPr>
                <w:noProof/>
                <w:webHidden/>
              </w:rPr>
              <w:instrText xml:space="preserve"> PAGEREF _Toc234168087 \h </w:instrText>
            </w:r>
            <w:r w:rsidR="00DE3C06">
              <w:rPr>
                <w:noProof/>
                <w:webHidden/>
              </w:rPr>
            </w:r>
            <w:r w:rsidR="00DE3C06">
              <w:rPr>
                <w:noProof/>
                <w:webHidden/>
              </w:rPr>
              <w:fldChar w:fldCharType="separate"/>
            </w:r>
            <w:r w:rsidR="00DE3C06">
              <w:rPr>
                <w:noProof/>
                <w:webHidden/>
              </w:rPr>
              <w:t>39</w:t>
            </w:r>
            <w:r w:rsidR="00DE3C06">
              <w:rPr>
                <w:noProof/>
                <w:webHidden/>
              </w:rPr>
              <w:fldChar w:fldCharType="end"/>
            </w:r>
          </w:hyperlink>
        </w:p>
        <w:p w14:paraId="44E7EA3D" w14:textId="77777777" w:rsidR="00DE3C06" w:rsidRDefault="00000000" w:rsidP="00DE3C06">
          <w:pPr>
            <w:pStyle w:val="TDC1"/>
            <w:tabs>
              <w:tab w:val="right" w:leader="dot" w:pos="9016"/>
            </w:tabs>
            <w:rPr>
              <w:rFonts w:eastAsiaTheme="minorEastAsia"/>
              <w:noProof/>
              <w:sz w:val="22"/>
              <w:szCs w:val="22"/>
              <w:lang w:val="es-CO" w:eastAsia="es-CO"/>
            </w:rPr>
          </w:pPr>
          <w:hyperlink w:anchor="_Toc234168088" w:history="1">
            <w:r w:rsidR="00DE3C06" w:rsidRPr="002D6A59">
              <w:rPr>
                <w:rStyle w:val="Hipervnculo"/>
                <w:rFonts w:cs="Tahoma"/>
                <w:noProof/>
              </w:rPr>
              <w:t>7.1 Vigencias futuras</w:t>
            </w:r>
            <w:r w:rsidR="00DE3C06">
              <w:rPr>
                <w:noProof/>
                <w:webHidden/>
              </w:rPr>
              <w:tab/>
            </w:r>
            <w:r w:rsidR="00DE3C06">
              <w:rPr>
                <w:noProof/>
                <w:webHidden/>
              </w:rPr>
              <w:fldChar w:fldCharType="begin"/>
            </w:r>
            <w:r w:rsidR="00DE3C06">
              <w:rPr>
                <w:noProof/>
                <w:webHidden/>
              </w:rPr>
              <w:instrText xml:space="preserve"> PAGEREF _Toc234168088 \h </w:instrText>
            </w:r>
            <w:r w:rsidR="00DE3C06">
              <w:rPr>
                <w:noProof/>
                <w:webHidden/>
              </w:rPr>
            </w:r>
            <w:r w:rsidR="00DE3C06">
              <w:rPr>
                <w:noProof/>
                <w:webHidden/>
              </w:rPr>
              <w:fldChar w:fldCharType="separate"/>
            </w:r>
            <w:r w:rsidR="00DE3C06">
              <w:rPr>
                <w:noProof/>
                <w:webHidden/>
              </w:rPr>
              <w:t>39</w:t>
            </w:r>
            <w:r w:rsidR="00DE3C06">
              <w:rPr>
                <w:noProof/>
                <w:webHidden/>
              </w:rPr>
              <w:fldChar w:fldCharType="end"/>
            </w:r>
          </w:hyperlink>
        </w:p>
        <w:p w14:paraId="1011FF1A" w14:textId="77777777" w:rsidR="00DE3C06" w:rsidRDefault="00000000" w:rsidP="00DE3C06">
          <w:pPr>
            <w:pStyle w:val="TDC1"/>
            <w:tabs>
              <w:tab w:val="right" w:leader="dot" w:pos="9016"/>
            </w:tabs>
            <w:rPr>
              <w:rFonts w:eastAsiaTheme="minorEastAsia"/>
              <w:noProof/>
              <w:sz w:val="22"/>
              <w:szCs w:val="22"/>
              <w:lang w:val="es-CO" w:eastAsia="es-CO"/>
            </w:rPr>
          </w:pPr>
          <w:hyperlink w:anchor="_Toc234168089" w:history="1">
            <w:r w:rsidR="00DE3C06" w:rsidRPr="002D6A59">
              <w:rPr>
                <w:rStyle w:val="Hipervnculo"/>
                <w:rFonts w:cs="Tahoma"/>
                <w:noProof/>
              </w:rPr>
              <w:t>7.2 Reservas presupuestales</w:t>
            </w:r>
            <w:r w:rsidR="00DE3C06">
              <w:rPr>
                <w:noProof/>
                <w:webHidden/>
              </w:rPr>
              <w:tab/>
            </w:r>
            <w:r w:rsidR="00DE3C06">
              <w:rPr>
                <w:noProof/>
                <w:webHidden/>
              </w:rPr>
              <w:fldChar w:fldCharType="begin"/>
            </w:r>
            <w:r w:rsidR="00DE3C06">
              <w:rPr>
                <w:noProof/>
                <w:webHidden/>
              </w:rPr>
              <w:instrText xml:space="preserve"> PAGEREF _Toc234168089 \h </w:instrText>
            </w:r>
            <w:r w:rsidR="00DE3C06">
              <w:rPr>
                <w:noProof/>
                <w:webHidden/>
              </w:rPr>
            </w:r>
            <w:r w:rsidR="00DE3C06">
              <w:rPr>
                <w:noProof/>
                <w:webHidden/>
              </w:rPr>
              <w:fldChar w:fldCharType="separate"/>
            </w:r>
            <w:r w:rsidR="00DE3C06">
              <w:rPr>
                <w:noProof/>
                <w:webHidden/>
              </w:rPr>
              <w:t>39</w:t>
            </w:r>
            <w:r w:rsidR="00DE3C06">
              <w:rPr>
                <w:noProof/>
                <w:webHidden/>
              </w:rPr>
              <w:fldChar w:fldCharType="end"/>
            </w:r>
          </w:hyperlink>
        </w:p>
        <w:p w14:paraId="1D74533A" w14:textId="77777777" w:rsidR="00DE3C06" w:rsidRDefault="00000000" w:rsidP="00DE3C06">
          <w:pPr>
            <w:pStyle w:val="TDC1"/>
            <w:tabs>
              <w:tab w:val="right" w:leader="dot" w:pos="9016"/>
            </w:tabs>
            <w:rPr>
              <w:rFonts w:eastAsiaTheme="minorEastAsia"/>
              <w:noProof/>
              <w:sz w:val="22"/>
              <w:szCs w:val="22"/>
              <w:lang w:val="es-CO" w:eastAsia="es-CO"/>
            </w:rPr>
          </w:pPr>
          <w:hyperlink w:anchor="_Toc234168090" w:history="1">
            <w:r w:rsidR="00DE3C06" w:rsidRPr="002D6A59">
              <w:rPr>
                <w:rStyle w:val="Hipervnculo"/>
                <w:rFonts w:cs="Tahoma"/>
                <w:noProof/>
              </w:rPr>
              <w:t>7.3 Cuentas por pagar</w:t>
            </w:r>
            <w:r w:rsidR="00DE3C06">
              <w:rPr>
                <w:noProof/>
                <w:webHidden/>
              </w:rPr>
              <w:tab/>
            </w:r>
            <w:r w:rsidR="00DE3C06">
              <w:rPr>
                <w:noProof/>
                <w:webHidden/>
              </w:rPr>
              <w:fldChar w:fldCharType="begin"/>
            </w:r>
            <w:r w:rsidR="00DE3C06">
              <w:rPr>
                <w:noProof/>
                <w:webHidden/>
              </w:rPr>
              <w:instrText xml:space="preserve"> PAGEREF _Toc234168090 \h </w:instrText>
            </w:r>
            <w:r w:rsidR="00DE3C06">
              <w:rPr>
                <w:noProof/>
                <w:webHidden/>
              </w:rPr>
            </w:r>
            <w:r w:rsidR="00DE3C06">
              <w:rPr>
                <w:noProof/>
                <w:webHidden/>
              </w:rPr>
              <w:fldChar w:fldCharType="separate"/>
            </w:r>
            <w:r w:rsidR="00DE3C06">
              <w:rPr>
                <w:noProof/>
                <w:webHidden/>
              </w:rPr>
              <w:t>39</w:t>
            </w:r>
            <w:r w:rsidR="00DE3C06">
              <w:rPr>
                <w:noProof/>
                <w:webHidden/>
              </w:rPr>
              <w:fldChar w:fldCharType="end"/>
            </w:r>
          </w:hyperlink>
        </w:p>
        <w:p w14:paraId="12A99630" w14:textId="77777777" w:rsidR="00DE3C06" w:rsidRDefault="00000000" w:rsidP="00DE3C06">
          <w:pPr>
            <w:pStyle w:val="TDC1"/>
            <w:tabs>
              <w:tab w:val="right" w:leader="dot" w:pos="9016"/>
            </w:tabs>
            <w:rPr>
              <w:rFonts w:eastAsiaTheme="minorEastAsia"/>
              <w:noProof/>
              <w:sz w:val="22"/>
              <w:szCs w:val="22"/>
              <w:lang w:val="es-CO" w:eastAsia="es-CO"/>
            </w:rPr>
          </w:pPr>
          <w:hyperlink w:anchor="_Toc234168091" w:history="1">
            <w:r w:rsidR="00DE3C06" w:rsidRPr="002D6A59">
              <w:rPr>
                <w:rStyle w:val="Hipervnculo"/>
                <w:rFonts w:cs="Tahoma"/>
                <w:noProof/>
              </w:rPr>
              <w:t>7.4 Situación de los recursos</w:t>
            </w:r>
            <w:r w:rsidR="00DE3C06">
              <w:rPr>
                <w:noProof/>
                <w:webHidden/>
              </w:rPr>
              <w:tab/>
            </w:r>
            <w:r w:rsidR="00DE3C06">
              <w:rPr>
                <w:noProof/>
                <w:webHidden/>
              </w:rPr>
              <w:fldChar w:fldCharType="begin"/>
            </w:r>
            <w:r w:rsidR="00DE3C06">
              <w:rPr>
                <w:noProof/>
                <w:webHidden/>
              </w:rPr>
              <w:instrText xml:space="preserve"> PAGEREF _Toc234168091 \h </w:instrText>
            </w:r>
            <w:r w:rsidR="00DE3C06">
              <w:rPr>
                <w:noProof/>
                <w:webHidden/>
              </w:rPr>
            </w:r>
            <w:r w:rsidR="00DE3C06">
              <w:rPr>
                <w:noProof/>
                <w:webHidden/>
              </w:rPr>
              <w:fldChar w:fldCharType="separate"/>
            </w:r>
            <w:r w:rsidR="00DE3C06">
              <w:rPr>
                <w:noProof/>
                <w:webHidden/>
              </w:rPr>
              <w:t>39</w:t>
            </w:r>
            <w:r w:rsidR="00DE3C06">
              <w:rPr>
                <w:noProof/>
                <w:webHidden/>
              </w:rPr>
              <w:fldChar w:fldCharType="end"/>
            </w:r>
          </w:hyperlink>
        </w:p>
        <w:p w14:paraId="0EF3792C" w14:textId="77777777" w:rsidR="00DE3C06" w:rsidRDefault="00000000" w:rsidP="00DE3C06">
          <w:pPr>
            <w:pStyle w:val="TDC1"/>
            <w:tabs>
              <w:tab w:val="right" w:leader="dot" w:pos="9016"/>
            </w:tabs>
            <w:rPr>
              <w:rFonts w:eastAsiaTheme="minorEastAsia"/>
              <w:noProof/>
              <w:sz w:val="22"/>
              <w:szCs w:val="22"/>
              <w:lang w:val="es-CO" w:eastAsia="es-CO"/>
            </w:rPr>
          </w:pPr>
          <w:hyperlink w:anchor="_Toc234168092" w:history="1">
            <w:r w:rsidR="00DE3C06" w:rsidRPr="002D6A59">
              <w:rPr>
                <w:rStyle w:val="Hipervnculo"/>
                <w:rFonts w:cs="Tahoma"/>
                <w:noProof/>
              </w:rPr>
              <w:t>7.5 Bienes muebles e inmuebles</w:t>
            </w:r>
            <w:r w:rsidR="00DE3C06">
              <w:rPr>
                <w:noProof/>
                <w:webHidden/>
              </w:rPr>
              <w:tab/>
            </w:r>
            <w:r w:rsidR="00DE3C06">
              <w:rPr>
                <w:noProof/>
                <w:webHidden/>
              </w:rPr>
              <w:fldChar w:fldCharType="begin"/>
            </w:r>
            <w:r w:rsidR="00DE3C06">
              <w:rPr>
                <w:noProof/>
                <w:webHidden/>
              </w:rPr>
              <w:instrText xml:space="preserve"> PAGEREF _Toc234168092 \h </w:instrText>
            </w:r>
            <w:r w:rsidR="00DE3C06">
              <w:rPr>
                <w:noProof/>
                <w:webHidden/>
              </w:rPr>
            </w:r>
            <w:r w:rsidR="00DE3C06">
              <w:rPr>
                <w:noProof/>
                <w:webHidden/>
              </w:rPr>
              <w:fldChar w:fldCharType="separate"/>
            </w:r>
            <w:r w:rsidR="00DE3C06">
              <w:rPr>
                <w:noProof/>
                <w:webHidden/>
              </w:rPr>
              <w:t>42</w:t>
            </w:r>
            <w:r w:rsidR="00DE3C06">
              <w:rPr>
                <w:noProof/>
                <w:webHidden/>
              </w:rPr>
              <w:fldChar w:fldCharType="end"/>
            </w:r>
          </w:hyperlink>
        </w:p>
        <w:p w14:paraId="2D7C3645" w14:textId="77777777" w:rsidR="00DE3C06" w:rsidRDefault="00000000" w:rsidP="00DE3C06">
          <w:pPr>
            <w:pStyle w:val="TDC1"/>
            <w:tabs>
              <w:tab w:val="right" w:leader="dot" w:pos="9016"/>
            </w:tabs>
            <w:rPr>
              <w:rFonts w:eastAsiaTheme="minorEastAsia"/>
              <w:noProof/>
              <w:sz w:val="22"/>
              <w:szCs w:val="22"/>
              <w:lang w:val="es-CO" w:eastAsia="es-CO"/>
            </w:rPr>
          </w:pPr>
          <w:hyperlink w:anchor="_Toc234168093" w:history="1">
            <w:r w:rsidR="00DE3C06" w:rsidRPr="002D6A59">
              <w:rPr>
                <w:rStyle w:val="Hipervnculo"/>
                <w:rFonts w:cs="Tahoma"/>
                <w:noProof/>
              </w:rPr>
              <w:t>7.6 Relación de obras inconclusas</w:t>
            </w:r>
            <w:r w:rsidR="00DE3C06">
              <w:rPr>
                <w:noProof/>
                <w:webHidden/>
              </w:rPr>
              <w:tab/>
            </w:r>
            <w:r w:rsidR="00DE3C06">
              <w:rPr>
                <w:noProof/>
                <w:webHidden/>
              </w:rPr>
              <w:fldChar w:fldCharType="begin"/>
            </w:r>
            <w:r w:rsidR="00DE3C06">
              <w:rPr>
                <w:noProof/>
                <w:webHidden/>
              </w:rPr>
              <w:instrText xml:space="preserve"> PAGEREF _Toc234168093 \h </w:instrText>
            </w:r>
            <w:r w:rsidR="00DE3C06">
              <w:rPr>
                <w:noProof/>
                <w:webHidden/>
              </w:rPr>
            </w:r>
            <w:r w:rsidR="00DE3C06">
              <w:rPr>
                <w:noProof/>
                <w:webHidden/>
              </w:rPr>
              <w:fldChar w:fldCharType="separate"/>
            </w:r>
            <w:r w:rsidR="00DE3C06">
              <w:rPr>
                <w:noProof/>
                <w:webHidden/>
              </w:rPr>
              <w:t>42</w:t>
            </w:r>
            <w:r w:rsidR="00DE3C06">
              <w:rPr>
                <w:noProof/>
                <w:webHidden/>
              </w:rPr>
              <w:fldChar w:fldCharType="end"/>
            </w:r>
          </w:hyperlink>
        </w:p>
        <w:p w14:paraId="113AD221" w14:textId="77777777" w:rsidR="00DE3C06" w:rsidRDefault="00000000" w:rsidP="00DE3C06">
          <w:pPr>
            <w:pStyle w:val="TDC1"/>
            <w:tabs>
              <w:tab w:val="right" w:leader="dot" w:pos="9016"/>
            </w:tabs>
            <w:rPr>
              <w:rFonts w:eastAsiaTheme="minorEastAsia"/>
              <w:noProof/>
              <w:sz w:val="22"/>
              <w:szCs w:val="22"/>
              <w:lang w:val="es-CO" w:eastAsia="es-CO"/>
            </w:rPr>
          </w:pPr>
          <w:hyperlink w:anchor="_Toc234168094" w:history="1">
            <w:r w:rsidR="00DE3C06" w:rsidRPr="002D6A59">
              <w:rPr>
                <w:rStyle w:val="Hipervnculo"/>
                <w:rFonts w:cs="Tahoma"/>
                <w:noProof/>
              </w:rPr>
              <w:t>7.7 Talento humano</w:t>
            </w:r>
            <w:r w:rsidR="00DE3C06">
              <w:rPr>
                <w:noProof/>
                <w:webHidden/>
              </w:rPr>
              <w:tab/>
            </w:r>
            <w:r w:rsidR="00DE3C06">
              <w:rPr>
                <w:noProof/>
                <w:webHidden/>
              </w:rPr>
              <w:fldChar w:fldCharType="begin"/>
            </w:r>
            <w:r w:rsidR="00DE3C06">
              <w:rPr>
                <w:noProof/>
                <w:webHidden/>
              </w:rPr>
              <w:instrText xml:space="preserve"> PAGEREF _Toc234168094 \h </w:instrText>
            </w:r>
            <w:r w:rsidR="00DE3C06">
              <w:rPr>
                <w:noProof/>
                <w:webHidden/>
              </w:rPr>
            </w:r>
            <w:r w:rsidR="00DE3C06">
              <w:rPr>
                <w:noProof/>
                <w:webHidden/>
              </w:rPr>
              <w:fldChar w:fldCharType="separate"/>
            </w:r>
            <w:r w:rsidR="00DE3C06">
              <w:rPr>
                <w:noProof/>
                <w:webHidden/>
              </w:rPr>
              <w:t>42</w:t>
            </w:r>
            <w:r w:rsidR="00DE3C06">
              <w:rPr>
                <w:noProof/>
                <w:webHidden/>
              </w:rPr>
              <w:fldChar w:fldCharType="end"/>
            </w:r>
          </w:hyperlink>
        </w:p>
        <w:p w14:paraId="189C0665" w14:textId="77777777" w:rsidR="00DE3C06" w:rsidRDefault="00000000" w:rsidP="00DE3C06">
          <w:pPr>
            <w:pStyle w:val="TDC1"/>
            <w:tabs>
              <w:tab w:val="right" w:leader="dot" w:pos="9016"/>
            </w:tabs>
            <w:rPr>
              <w:rFonts w:eastAsiaTheme="minorEastAsia"/>
              <w:noProof/>
              <w:sz w:val="22"/>
              <w:szCs w:val="22"/>
              <w:lang w:val="es-CO" w:eastAsia="es-CO"/>
            </w:rPr>
          </w:pPr>
          <w:hyperlink w:anchor="_Toc234168095" w:history="1">
            <w:r w:rsidR="00DE3C06" w:rsidRPr="002D6A59">
              <w:rPr>
                <w:rStyle w:val="Hipervnculo"/>
                <w:rFonts w:cs="Tahoma"/>
                <w:noProof/>
              </w:rPr>
              <w:t>7.8 Concurso de mérito</w:t>
            </w:r>
            <w:r w:rsidR="00DE3C06">
              <w:rPr>
                <w:noProof/>
                <w:webHidden/>
              </w:rPr>
              <w:tab/>
            </w:r>
            <w:r w:rsidR="00DE3C06">
              <w:rPr>
                <w:noProof/>
                <w:webHidden/>
              </w:rPr>
              <w:fldChar w:fldCharType="begin"/>
            </w:r>
            <w:r w:rsidR="00DE3C06">
              <w:rPr>
                <w:noProof/>
                <w:webHidden/>
              </w:rPr>
              <w:instrText xml:space="preserve"> PAGEREF _Toc234168095 \h </w:instrText>
            </w:r>
            <w:r w:rsidR="00DE3C06">
              <w:rPr>
                <w:noProof/>
                <w:webHidden/>
              </w:rPr>
            </w:r>
            <w:r w:rsidR="00DE3C06">
              <w:rPr>
                <w:noProof/>
                <w:webHidden/>
              </w:rPr>
              <w:fldChar w:fldCharType="separate"/>
            </w:r>
            <w:r w:rsidR="00DE3C06">
              <w:rPr>
                <w:noProof/>
                <w:webHidden/>
              </w:rPr>
              <w:t>43</w:t>
            </w:r>
            <w:r w:rsidR="00DE3C06">
              <w:rPr>
                <w:noProof/>
                <w:webHidden/>
              </w:rPr>
              <w:fldChar w:fldCharType="end"/>
            </w:r>
          </w:hyperlink>
        </w:p>
        <w:p w14:paraId="34AE1254" w14:textId="77777777" w:rsidR="00DE3C06" w:rsidRDefault="00000000" w:rsidP="00DE3C06">
          <w:pPr>
            <w:pStyle w:val="TDC1"/>
            <w:tabs>
              <w:tab w:val="left" w:pos="660"/>
              <w:tab w:val="right" w:leader="dot" w:pos="9016"/>
            </w:tabs>
            <w:rPr>
              <w:rFonts w:eastAsiaTheme="minorEastAsia"/>
              <w:noProof/>
              <w:sz w:val="22"/>
              <w:szCs w:val="22"/>
              <w:lang w:val="es-CO" w:eastAsia="es-CO"/>
            </w:rPr>
          </w:pPr>
          <w:hyperlink w:anchor="_Toc234168096" w:history="1">
            <w:r w:rsidR="00DE3C06" w:rsidRPr="002D6A59">
              <w:rPr>
                <w:rStyle w:val="Hipervnculo"/>
                <w:rFonts w:cs="Tahoma"/>
                <w:noProof/>
              </w:rPr>
              <w:t>7.9</w:t>
            </w:r>
            <w:r w:rsidR="00DE3C06">
              <w:rPr>
                <w:rFonts w:eastAsiaTheme="minorEastAsia"/>
                <w:noProof/>
                <w:sz w:val="22"/>
                <w:szCs w:val="22"/>
                <w:lang w:val="es-CO" w:eastAsia="es-CO"/>
              </w:rPr>
              <w:tab/>
            </w:r>
            <w:r w:rsidR="00DE3C06" w:rsidRPr="002D6A59">
              <w:rPr>
                <w:rStyle w:val="Hipervnculo"/>
                <w:rFonts w:cs="Tahoma"/>
                <w:noProof/>
              </w:rPr>
              <w:t>Contratación</w:t>
            </w:r>
            <w:r w:rsidR="00DE3C06">
              <w:rPr>
                <w:noProof/>
                <w:webHidden/>
              </w:rPr>
              <w:tab/>
            </w:r>
            <w:r w:rsidR="00DE3C06">
              <w:rPr>
                <w:noProof/>
                <w:webHidden/>
              </w:rPr>
              <w:fldChar w:fldCharType="begin"/>
            </w:r>
            <w:r w:rsidR="00DE3C06">
              <w:rPr>
                <w:noProof/>
                <w:webHidden/>
              </w:rPr>
              <w:instrText xml:space="preserve"> PAGEREF _Toc234168096 \h </w:instrText>
            </w:r>
            <w:r w:rsidR="00DE3C06">
              <w:rPr>
                <w:noProof/>
                <w:webHidden/>
              </w:rPr>
            </w:r>
            <w:r w:rsidR="00DE3C06">
              <w:rPr>
                <w:noProof/>
                <w:webHidden/>
              </w:rPr>
              <w:fldChar w:fldCharType="separate"/>
            </w:r>
            <w:r w:rsidR="00DE3C06">
              <w:rPr>
                <w:noProof/>
                <w:webHidden/>
              </w:rPr>
              <w:t>43</w:t>
            </w:r>
            <w:r w:rsidR="00DE3C06">
              <w:rPr>
                <w:noProof/>
                <w:webHidden/>
              </w:rPr>
              <w:fldChar w:fldCharType="end"/>
            </w:r>
          </w:hyperlink>
        </w:p>
        <w:p w14:paraId="1501FEDA" w14:textId="77777777" w:rsidR="00DE3C06" w:rsidRDefault="00000000" w:rsidP="00DE3C06">
          <w:pPr>
            <w:pStyle w:val="TDC1"/>
            <w:tabs>
              <w:tab w:val="right" w:leader="dot" w:pos="9016"/>
            </w:tabs>
            <w:rPr>
              <w:rFonts w:eastAsiaTheme="minorEastAsia"/>
              <w:noProof/>
              <w:sz w:val="22"/>
              <w:szCs w:val="22"/>
              <w:lang w:val="es-CO" w:eastAsia="es-CO"/>
            </w:rPr>
          </w:pPr>
          <w:hyperlink w:anchor="_Toc234168097" w:history="1">
            <w:r w:rsidR="00DE3C06" w:rsidRPr="002D6A59">
              <w:rPr>
                <w:rStyle w:val="Hipervnculo"/>
                <w:rFonts w:cs="Tahoma"/>
                <w:noProof/>
              </w:rPr>
              <w:t>7.10 Créditos externos en ejecución Este ítem no aplica a la ART-PDET.</w:t>
            </w:r>
            <w:r w:rsidR="00DE3C06">
              <w:rPr>
                <w:noProof/>
                <w:webHidden/>
              </w:rPr>
              <w:tab/>
            </w:r>
            <w:r w:rsidR="00DE3C06">
              <w:rPr>
                <w:noProof/>
                <w:webHidden/>
              </w:rPr>
              <w:fldChar w:fldCharType="begin"/>
            </w:r>
            <w:r w:rsidR="00DE3C06">
              <w:rPr>
                <w:noProof/>
                <w:webHidden/>
              </w:rPr>
              <w:instrText xml:space="preserve"> PAGEREF _Toc234168097 \h </w:instrText>
            </w:r>
            <w:r w:rsidR="00DE3C06">
              <w:rPr>
                <w:noProof/>
                <w:webHidden/>
              </w:rPr>
            </w:r>
            <w:r w:rsidR="00DE3C06">
              <w:rPr>
                <w:noProof/>
                <w:webHidden/>
              </w:rPr>
              <w:fldChar w:fldCharType="separate"/>
            </w:r>
            <w:r w:rsidR="00DE3C06">
              <w:rPr>
                <w:noProof/>
                <w:webHidden/>
              </w:rPr>
              <w:t>44</w:t>
            </w:r>
            <w:r w:rsidR="00DE3C06">
              <w:rPr>
                <w:noProof/>
                <w:webHidden/>
              </w:rPr>
              <w:fldChar w:fldCharType="end"/>
            </w:r>
          </w:hyperlink>
        </w:p>
        <w:p w14:paraId="089ABEF9" w14:textId="77777777" w:rsidR="00DE3C06" w:rsidRDefault="00000000" w:rsidP="00DE3C06">
          <w:pPr>
            <w:pStyle w:val="TDC1"/>
            <w:tabs>
              <w:tab w:val="right" w:leader="dot" w:pos="9016"/>
            </w:tabs>
            <w:rPr>
              <w:rFonts w:eastAsiaTheme="minorEastAsia"/>
              <w:noProof/>
              <w:sz w:val="22"/>
              <w:szCs w:val="22"/>
              <w:lang w:val="es-CO" w:eastAsia="es-CO"/>
            </w:rPr>
          </w:pPr>
          <w:hyperlink w:anchor="_Toc234168098" w:history="1">
            <w:r w:rsidR="00DE3C06" w:rsidRPr="002D6A59">
              <w:rPr>
                <w:rStyle w:val="Hipervnculo"/>
                <w:rFonts w:cs="Tahoma"/>
                <w:noProof/>
              </w:rPr>
              <w:t>7.11 Créditos externos en proceso de estructuración</w:t>
            </w:r>
            <w:r w:rsidR="00DE3C06">
              <w:rPr>
                <w:noProof/>
                <w:webHidden/>
              </w:rPr>
              <w:tab/>
            </w:r>
            <w:r w:rsidR="00DE3C06">
              <w:rPr>
                <w:noProof/>
                <w:webHidden/>
              </w:rPr>
              <w:fldChar w:fldCharType="begin"/>
            </w:r>
            <w:r w:rsidR="00DE3C06">
              <w:rPr>
                <w:noProof/>
                <w:webHidden/>
              </w:rPr>
              <w:instrText xml:space="preserve"> PAGEREF _Toc234168098 \h </w:instrText>
            </w:r>
            <w:r w:rsidR="00DE3C06">
              <w:rPr>
                <w:noProof/>
                <w:webHidden/>
              </w:rPr>
            </w:r>
            <w:r w:rsidR="00DE3C06">
              <w:rPr>
                <w:noProof/>
                <w:webHidden/>
              </w:rPr>
              <w:fldChar w:fldCharType="separate"/>
            </w:r>
            <w:r w:rsidR="00DE3C06">
              <w:rPr>
                <w:noProof/>
                <w:webHidden/>
              </w:rPr>
              <w:t>44</w:t>
            </w:r>
            <w:r w:rsidR="00DE3C06">
              <w:rPr>
                <w:noProof/>
                <w:webHidden/>
              </w:rPr>
              <w:fldChar w:fldCharType="end"/>
            </w:r>
          </w:hyperlink>
        </w:p>
        <w:p w14:paraId="339D1EC4" w14:textId="77777777" w:rsidR="00DE3C06" w:rsidRDefault="00000000" w:rsidP="00DE3C06">
          <w:pPr>
            <w:pStyle w:val="TDC1"/>
            <w:tabs>
              <w:tab w:val="left" w:pos="440"/>
              <w:tab w:val="right" w:leader="dot" w:pos="9016"/>
            </w:tabs>
            <w:rPr>
              <w:rFonts w:eastAsiaTheme="minorEastAsia"/>
              <w:noProof/>
              <w:sz w:val="22"/>
              <w:szCs w:val="22"/>
              <w:lang w:val="es-CO" w:eastAsia="es-CO"/>
            </w:rPr>
          </w:pPr>
          <w:hyperlink w:anchor="_Toc234168099" w:history="1">
            <w:r w:rsidR="00DE3C06" w:rsidRPr="002D6A59">
              <w:rPr>
                <w:rStyle w:val="Hipervnculo"/>
                <w:rFonts w:cs="Tahoma"/>
                <w:noProof/>
              </w:rPr>
              <w:t>8.</w:t>
            </w:r>
            <w:r w:rsidR="00DE3C06">
              <w:rPr>
                <w:rFonts w:eastAsiaTheme="minorEastAsia"/>
                <w:noProof/>
                <w:sz w:val="22"/>
                <w:szCs w:val="22"/>
                <w:lang w:val="es-CO" w:eastAsia="es-CO"/>
              </w:rPr>
              <w:tab/>
            </w:r>
            <w:r w:rsidR="00DE3C06" w:rsidRPr="002D6A59">
              <w:rPr>
                <w:rStyle w:val="Hipervnculo"/>
                <w:rFonts w:cs="Tahoma"/>
                <w:noProof/>
              </w:rPr>
              <w:t>PROGRAMAS, ESTUDIOS, PROYECTOS Y OBRAS PÚBLICAS</w:t>
            </w:r>
            <w:r w:rsidR="00DE3C06">
              <w:rPr>
                <w:noProof/>
                <w:webHidden/>
              </w:rPr>
              <w:tab/>
            </w:r>
            <w:r w:rsidR="00DE3C06">
              <w:rPr>
                <w:noProof/>
                <w:webHidden/>
              </w:rPr>
              <w:fldChar w:fldCharType="begin"/>
            </w:r>
            <w:r w:rsidR="00DE3C06">
              <w:rPr>
                <w:noProof/>
                <w:webHidden/>
              </w:rPr>
              <w:instrText xml:space="preserve"> PAGEREF _Toc234168099 \h </w:instrText>
            </w:r>
            <w:r w:rsidR="00DE3C06">
              <w:rPr>
                <w:noProof/>
                <w:webHidden/>
              </w:rPr>
            </w:r>
            <w:r w:rsidR="00DE3C06">
              <w:rPr>
                <w:noProof/>
                <w:webHidden/>
              </w:rPr>
              <w:fldChar w:fldCharType="separate"/>
            </w:r>
            <w:r w:rsidR="00DE3C06">
              <w:rPr>
                <w:noProof/>
                <w:webHidden/>
              </w:rPr>
              <w:t>44</w:t>
            </w:r>
            <w:r w:rsidR="00DE3C06">
              <w:rPr>
                <w:noProof/>
                <w:webHidden/>
              </w:rPr>
              <w:fldChar w:fldCharType="end"/>
            </w:r>
          </w:hyperlink>
        </w:p>
        <w:p w14:paraId="2DB2038B" w14:textId="77777777" w:rsidR="00DE3C06" w:rsidRDefault="00000000" w:rsidP="00DE3C06">
          <w:pPr>
            <w:pStyle w:val="TDC1"/>
            <w:tabs>
              <w:tab w:val="right" w:leader="dot" w:pos="9016"/>
            </w:tabs>
            <w:rPr>
              <w:rFonts w:eastAsiaTheme="minorEastAsia"/>
              <w:noProof/>
              <w:sz w:val="22"/>
              <w:szCs w:val="22"/>
              <w:lang w:val="es-CO" w:eastAsia="es-CO"/>
            </w:rPr>
          </w:pPr>
          <w:hyperlink w:anchor="_Toc234168100" w:history="1">
            <w:r w:rsidR="00DE3C06" w:rsidRPr="002D6A59">
              <w:rPr>
                <w:rStyle w:val="Hipervnculo"/>
                <w:rFonts w:cs="Tahoma"/>
                <w:noProof/>
              </w:rPr>
              <w:t>8.1 Programas</w:t>
            </w:r>
            <w:r w:rsidR="00DE3C06">
              <w:rPr>
                <w:noProof/>
                <w:webHidden/>
              </w:rPr>
              <w:tab/>
            </w:r>
            <w:r w:rsidR="00DE3C06">
              <w:rPr>
                <w:noProof/>
                <w:webHidden/>
              </w:rPr>
              <w:fldChar w:fldCharType="begin"/>
            </w:r>
            <w:r w:rsidR="00DE3C06">
              <w:rPr>
                <w:noProof/>
                <w:webHidden/>
              </w:rPr>
              <w:instrText xml:space="preserve"> PAGEREF _Toc234168100 \h </w:instrText>
            </w:r>
            <w:r w:rsidR="00DE3C06">
              <w:rPr>
                <w:noProof/>
                <w:webHidden/>
              </w:rPr>
            </w:r>
            <w:r w:rsidR="00DE3C06">
              <w:rPr>
                <w:noProof/>
                <w:webHidden/>
              </w:rPr>
              <w:fldChar w:fldCharType="separate"/>
            </w:r>
            <w:r w:rsidR="00DE3C06">
              <w:rPr>
                <w:noProof/>
                <w:webHidden/>
              </w:rPr>
              <w:t>44</w:t>
            </w:r>
            <w:r w:rsidR="00DE3C06">
              <w:rPr>
                <w:noProof/>
                <w:webHidden/>
              </w:rPr>
              <w:fldChar w:fldCharType="end"/>
            </w:r>
          </w:hyperlink>
        </w:p>
        <w:p w14:paraId="213ECA22" w14:textId="77777777" w:rsidR="00DE3C06" w:rsidRDefault="00000000" w:rsidP="00DE3C06">
          <w:pPr>
            <w:pStyle w:val="TDC1"/>
            <w:tabs>
              <w:tab w:val="right" w:leader="dot" w:pos="9016"/>
            </w:tabs>
            <w:rPr>
              <w:rFonts w:eastAsiaTheme="minorEastAsia"/>
              <w:noProof/>
              <w:sz w:val="22"/>
              <w:szCs w:val="22"/>
              <w:lang w:val="es-CO" w:eastAsia="es-CO"/>
            </w:rPr>
          </w:pPr>
          <w:hyperlink w:anchor="_Toc234168101" w:history="1">
            <w:r w:rsidR="00DE3C06" w:rsidRPr="002D6A59">
              <w:rPr>
                <w:rStyle w:val="Hipervnculo"/>
                <w:rFonts w:cs="Tahoma"/>
                <w:noProof/>
              </w:rPr>
              <w:t>8.2 Estudios</w:t>
            </w:r>
            <w:r w:rsidR="00DE3C06">
              <w:rPr>
                <w:noProof/>
                <w:webHidden/>
              </w:rPr>
              <w:tab/>
            </w:r>
            <w:r w:rsidR="00DE3C06">
              <w:rPr>
                <w:noProof/>
                <w:webHidden/>
              </w:rPr>
              <w:fldChar w:fldCharType="begin"/>
            </w:r>
            <w:r w:rsidR="00DE3C06">
              <w:rPr>
                <w:noProof/>
                <w:webHidden/>
              </w:rPr>
              <w:instrText xml:space="preserve"> PAGEREF _Toc234168101 \h </w:instrText>
            </w:r>
            <w:r w:rsidR="00DE3C06">
              <w:rPr>
                <w:noProof/>
                <w:webHidden/>
              </w:rPr>
            </w:r>
            <w:r w:rsidR="00DE3C06">
              <w:rPr>
                <w:noProof/>
                <w:webHidden/>
              </w:rPr>
              <w:fldChar w:fldCharType="separate"/>
            </w:r>
            <w:r w:rsidR="00DE3C06">
              <w:rPr>
                <w:noProof/>
                <w:webHidden/>
              </w:rPr>
              <w:t>45</w:t>
            </w:r>
            <w:r w:rsidR="00DE3C06">
              <w:rPr>
                <w:noProof/>
                <w:webHidden/>
              </w:rPr>
              <w:fldChar w:fldCharType="end"/>
            </w:r>
          </w:hyperlink>
        </w:p>
        <w:p w14:paraId="00DD3DA4" w14:textId="77777777" w:rsidR="00DE3C06" w:rsidRDefault="00000000" w:rsidP="00DE3C06">
          <w:pPr>
            <w:pStyle w:val="TDC1"/>
            <w:tabs>
              <w:tab w:val="right" w:leader="dot" w:pos="9016"/>
            </w:tabs>
            <w:rPr>
              <w:rFonts w:eastAsiaTheme="minorEastAsia"/>
              <w:noProof/>
              <w:sz w:val="22"/>
              <w:szCs w:val="22"/>
              <w:lang w:val="es-CO" w:eastAsia="es-CO"/>
            </w:rPr>
          </w:pPr>
          <w:hyperlink w:anchor="_Toc234168102" w:history="1">
            <w:r w:rsidR="00DE3C06" w:rsidRPr="002D6A59">
              <w:rPr>
                <w:rStyle w:val="Hipervnculo"/>
                <w:rFonts w:cs="Tahoma"/>
                <w:noProof/>
              </w:rPr>
              <w:t>8.3 Proyectos: (APP, Convenios)</w:t>
            </w:r>
            <w:r w:rsidR="00DE3C06">
              <w:rPr>
                <w:noProof/>
                <w:webHidden/>
              </w:rPr>
              <w:tab/>
            </w:r>
            <w:r w:rsidR="00DE3C06">
              <w:rPr>
                <w:noProof/>
                <w:webHidden/>
              </w:rPr>
              <w:fldChar w:fldCharType="begin"/>
            </w:r>
            <w:r w:rsidR="00DE3C06">
              <w:rPr>
                <w:noProof/>
                <w:webHidden/>
              </w:rPr>
              <w:instrText xml:space="preserve"> PAGEREF _Toc234168102 \h </w:instrText>
            </w:r>
            <w:r w:rsidR="00DE3C06">
              <w:rPr>
                <w:noProof/>
                <w:webHidden/>
              </w:rPr>
            </w:r>
            <w:r w:rsidR="00DE3C06">
              <w:rPr>
                <w:noProof/>
                <w:webHidden/>
              </w:rPr>
              <w:fldChar w:fldCharType="separate"/>
            </w:r>
            <w:r w:rsidR="00DE3C06">
              <w:rPr>
                <w:noProof/>
                <w:webHidden/>
              </w:rPr>
              <w:t>45</w:t>
            </w:r>
            <w:r w:rsidR="00DE3C06">
              <w:rPr>
                <w:noProof/>
                <w:webHidden/>
              </w:rPr>
              <w:fldChar w:fldCharType="end"/>
            </w:r>
          </w:hyperlink>
        </w:p>
        <w:p w14:paraId="42927466" w14:textId="77777777" w:rsidR="00DE3C06" w:rsidRDefault="00000000" w:rsidP="00DE3C06">
          <w:pPr>
            <w:pStyle w:val="TDC1"/>
            <w:tabs>
              <w:tab w:val="right" w:leader="dot" w:pos="9016"/>
            </w:tabs>
            <w:rPr>
              <w:rFonts w:eastAsiaTheme="minorEastAsia"/>
              <w:noProof/>
              <w:sz w:val="22"/>
              <w:szCs w:val="22"/>
              <w:lang w:val="es-CO" w:eastAsia="es-CO"/>
            </w:rPr>
          </w:pPr>
          <w:hyperlink w:anchor="_Toc234168103" w:history="1">
            <w:r w:rsidR="00DE3C06" w:rsidRPr="002D6A59">
              <w:rPr>
                <w:rStyle w:val="Hipervnculo"/>
                <w:rFonts w:cs="Tahoma"/>
                <w:noProof/>
              </w:rPr>
              <w:t>8.4 Proyectos de inversión</w:t>
            </w:r>
            <w:r w:rsidR="00DE3C06">
              <w:rPr>
                <w:noProof/>
                <w:webHidden/>
              </w:rPr>
              <w:tab/>
            </w:r>
            <w:r w:rsidR="00DE3C06">
              <w:rPr>
                <w:noProof/>
                <w:webHidden/>
              </w:rPr>
              <w:fldChar w:fldCharType="begin"/>
            </w:r>
            <w:r w:rsidR="00DE3C06">
              <w:rPr>
                <w:noProof/>
                <w:webHidden/>
              </w:rPr>
              <w:instrText xml:space="preserve"> PAGEREF _Toc234168103 \h </w:instrText>
            </w:r>
            <w:r w:rsidR="00DE3C06">
              <w:rPr>
                <w:noProof/>
                <w:webHidden/>
              </w:rPr>
            </w:r>
            <w:r w:rsidR="00DE3C06">
              <w:rPr>
                <w:noProof/>
                <w:webHidden/>
              </w:rPr>
              <w:fldChar w:fldCharType="separate"/>
            </w:r>
            <w:r w:rsidR="00DE3C06">
              <w:rPr>
                <w:noProof/>
                <w:webHidden/>
              </w:rPr>
              <w:t>46</w:t>
            </w:r>
            <w:r w:rsidR="00DE3C06">
              <w:rPr>
                <w:noProof/>
                <w:webHidden/>
              </w:rPr>
              <w:fldChar w:fldCharType="end"/>
            </w:r>
          </w:hyperlink>
        </w:p>
        <w:p w14:paraId="07885343" w14:textId="77777777" w:rsidR="00DE3C06" w:rsidRDefault="00000000" w:rsidP="00DE3C06">
          <w:pPr>
            <w:pStyle w:val="TDC1"/>
            <w:tabs>
              <w:tab w:val="right" w:leader="dot" w:pos="9016"/>
            </w:tabs>
            <w:rPr>
              <w:rFonts w:eastAsiaTheme="minorEastAsia"/>
              <w:noProof/>
              <w:sz w:val="22"/>
              <w:szCs w:val="22"/>
              <w:lang w:val="es-CO" w:eastAsia="es-CO"/>
            </w:rPr>
          </w:pPr>
          <w:hyperlink w:anchor="_Toc234168104" w:history="1">
            <w:r w:rsidR="00DE3C06" w:rsidRPr="002D6A59">
              <w:rPr>
                <w:rStyle w:val="Hipervnculo"/>
                <w:rFonts w:cs="Tahoma"/>
                <w:noProof/>
              </w:rPr>
              <w:t>8.5 Obras públicas</w:t>
            </w:r>
            <w:r w:rsidR="00DE3C06">
              <w:rPr>
                <w:noProof/>
                <w:webHidden/>
              </w:rPr>
              <w:tab/>
            </w:r>
            <w:r w:rsidR="00DE3C06">
              <w:rPr>
                <w:noProof/>
                <w:webHidden/>
              </w:rPr>
              <w:fldChar w:fldCharType="begin"/>
            </w:r>
            <w:r w:rsidR="00DE3C06">
              <w:rPr>
                <w:noProof/>
                <w:webHidden/>
              </w:rPr>
              <w:instrText xml:space="preserve"> PAGEREF _Toc234168104 \h </w:instrText>
            </w:r>
            <w:r w:rsidR="00DE3C06">
              <w:rPr>
                <w:noProof/>
                <w:webHidden/>
              </w:rPr>
            </w:r>
            <w:r w:rsidR="00DE3C06">
              <w:rPr>
                <w:noProof/>
                <w:webHidden/>
              </w:rPr>
              <w:fldChar w:fldCharType="separate"/>
            </w:r>
            <w:r w:rsidR="00DE3C06">
              <w:rPr>
                <w:noProof/>
                <w:webHidden/>
              </w:rPr>
              <w:t>46</w:t>
            </w:r>
            <w:r w:rsidR="00DE3C06">
              <w:rPr>
                <w:noProof/>
                <w:webHidden/>
              </w:rPr>
              <w:fldChar w:fldCharType="end"/>
            </w:r>
          </w:hyperlink>
        </w:p>
        <w:p w14:paraId="13EEE6FE" w14:textId="77777777" w:rsidR="00DE3C06" w:rsidRDefault="00000000" w:rsidP="00DE3C06">
          <w:pPr>
            <w:pStyle w:val="TDC1"/>
            <w:tabs>
              <w:tab w:val="left" w:pos="440"/>
              <w:tab w:val="right" w:leader="dot" w:pos="9016"/>
            </w:tabs>
            <w:rPr>
              <w:rFonts w:eastAsiaTheme="minorEastAsia"/>
              <w:noProof/>
              <w:sz w:val="22"/>
              <w:szCs w:val="22"/>
              <w:lang w:val="es-CO" w:eastAsia="es-CO"/>
            </w:rPr>
          </w:pPr>
          <w:hyperlink w:anchor="_Toc234168105" w:history="1">
            <w:r w:rsidR="00DE3C06" w:rsidRPr="002D6A59">
              <w:rPr>
                <w:rStyle w:val="Hipervnculo"/>
                <w:rFonts w:cs="Tahoma"/>
                <w:noProof/>
              </w:rPr>
              <w:t>9.</w:t>
            </w:r>
            <w:r w:rsidR="00DE3C06">
              <w:rPr>
                <w:rFonts w:eastAsiaTheme="minorEastAsia"/>
                <w:noProof/>
                <w:sz w:val="22"/>
                <w:szCs w:val="22"/>
                <w:lang w:val="es-CO" w:eastAsia="es-CO"/>
              </w:rPr>
              <w:tab/>
            </w:r>
            <w:r w:rsidR="00DE3C06" w:rsidRPr="002D6A59">
              <w:rPr>
                <w:rStyle w:val="Hipervnculo"/>
                <w:rFonts w:cs="Tahoma"/>
                <w:noProof/>
              </w:rPr>
              <w:t>INSTANCIAS DE GOBERNANZA INTERNA Y EXTERNA EN ENTIDADES</w:t>
            </w:r>
            <w:r w:rsidR="00DE3C06">
              <w:rPr>
                <w:noProof/>
                <w:webHidden/>
              </w:rPr>
              <w:tab/>
            </w:r>
            <w:r w:rsidR="00DE3C06">
              <w:rPr>
                <w:noProof/>
                <w:webHidden/>
              </w:rPr>
              <w:fldChar w:fldCharType="begin"/>
            </w:r>
            <w:r w:rsidR="00DE3C06">
              <w:rPr>
                <w:noProof/>
                <w:webHidden/>
              </w:rPr>
              <w:instrText xml:space="preserve"> PAGEREF _Toc234168105 \h </w:instrText>
            </w:r>
            <w:r w:rsidR="00DE3C06">
              <w:rPr>
                <w:noProof/>
                <w:webHidden/>
              </w:rPr>
            </w:r>
            <w:r w:rsidR="00DE3C06">
              <w:rPr>
                <w:noProof/>
                <w:webHidden/>
              </w:rPr>
              <w:fldChar w:fldCharType="separate"/>
            </w:r>
            <w:r w:rsidR="00DE3C06">
              <w:rPr>
                <w:noProof/>
                <w:webHidden/>
              </w:rPr>
              <w:t>47</w:t>
            </w:r>
            <w:r w:rsidR="00DE3C06">
              <w:rPr>
                <w:noProof/>
                <w:webHidden/>
              </w:rPr>
              <w:fldChar w:fldCharType="end"/>
            </w:r>
          </w:hyperlink>
        </w:p>
        <w:p w14:paraId="4F2053D9" w14:textId="77777777" w:rsidR="00DE3C06" w:rsidRDefault="00000000" w:rsidP="00DE3C06">
          <w:pPr>
            <w:pStyle w:val="TDC1"/>
            <w:tabs>
              <w:tab w:val="right" w:leader="dot" w:pos="9016"/>
            </w:tabs>
            <w:rPr>
              <w:rFonts w:eastAsiaTheme="minorEastAsia"/>
              <w:noProof/>
              <w:sz w:val="22"/>
              <w:szCs w:val="22"/>
              <w:lang w:val="es-CO" w:eastAsia="es-CO"/>
            </w:rPr>
          </w:pPr>
          <w:hyperlink w:anchor="_Toc234168106" w:history="1">
            <w:r w:rsidR="00DE3C06" w:rsidRPr="002D6A59">
              <w:rPr>
                <w:rStyle w:val="Hipervnculo"/>
                <w:rFonts w:cs="Tahoma"/>
                <w:noProof/>
              </w:rPr>
              <w:t>9.1 Instancias de participación externas</w:t>
            </w:r>
            <w:r w:rsidR="00DE3C06">
              <w:rPr>
                <w:noProof/>
                <w:webHidden/>
              </w:rPr>
              <w:tab/>
            </w:r>
            <w:r w:rsidR="00DE3C06">
              <w:rPr>
                <w:noProof/>
                <w:webHidden/>
              </w:rPr>
              <w:fldChar w:fldCharType="begin"/>
            </w:r>
            <w:r w:rsidR="00DE3C06">
              <w:rPr>
                <w:noProof/>
                <w:webHidden/>
              </w:rPr>
              <w:instrText xml:space="preserve"> PAGEREF _Toc234168106 \h </w:instrText>
            </w:r>
            <w:r w:rsidR="00DE3C06">
              <w:rPr>
                <w:noProof/>
                <w:webHidden/>
              </w:rPr>
            </w:r>
            <w:r w:rsidR="00DE3C06">
              <w:rPr>
                <w:noProof/>
                <w:webHidden/>
              </w:rPr>
              <w:fldChar w:fldCharType="separate"/>
            </w:r>
            <w:r w:rsidR="00DE3C06">
              <w:rPr>
                <w:noProof/>
                <w:webHidden/>
              </w:rPr>
              <w:t>47</w:t>
            </w:r>
            <w:r w:rsidR="00DE3C06">
              <w:rPr>
                <w:noProof/>
                <w:webHidden/>
              </w:rPr>
              <w:fldChar w:fldCharType="end"/>
            </w:r>
          </w:hyperlink>
        </w:p>
        <w:p w14:paraId="263D80CD" w14:textId="77777777" w:rsidR="00DE3C06" w:rsidRDefault="00000000" w:rsidP="00DE3C06">
          <w:pPr>
            <w:pStyle w:val="TDC1"/>
            <w:tabs>
              <w:tab w:val="right" w:leader="dot" w:pos="9016"/>
            </w:tabs>
            <w:rPr>
              <w:rFonts w:eastAsiaTheme="minorEastAsia"/>
              <w:noProof/>
              <w:sz w:val="22"/>
              <w:szCs w:val="22"/>
              <w:lang w:val="es-CO" w:eastAsia="es-CO"/>
            </w:rPr>
          </w:pPr>
          <w:hyperlink w:anchor="_Toc234168107" w:history="1">
            <w:r w:rsidR="00DE3C06" w:rsidRPr="002D6A59">
              <w:rPr>
                <w:rStyle w:val="Hipervnculo"/>
                <w:rFonts w:cs="Tahoma"/>
                <w:noProof/>
              </w:rPr>
              <w:t>9.2 Mesas Técnicas en el marco de convenios y mesas informales.</w:t>
            </w:r>
            <w:r w:rsidR="00DE3C06">
              <w:rPr>
                <w:noProof/>
                <w:webHidden/>
              </w:rPr>
              <w:tab/>
            </w:r>
            <w:r w:rsidR="00DE3C06">
              <w:rPr>
                <w:noProof/>
                <w:webHidden/>
              </w:rPr>
              <w:fldChar w:fldCharType="begin"/>
            </w:r>
            <w:r w:rsidR="00DE3C06">
              <w:rPr>
                <w:noProof/>
                <w:webHidden/>
              </w:rPr>
              <w:instrText xml:space="preserve"> PAGEREF _Toc234168107 \h </w:instrText>
            </w:r>
            <w:r w:rsidR="00DE3C06">
              <w:rPr>
                <w:noProof/>
                <w:webHidden/>
              </w:rPr>
            </w:r>
            <w:r w:rsidR="00DE3C06">
              <w:rPr>
                <w:noProof/>
                <w:webHidden/>
              </w:rPr>
              <w:fldChar w:fldCharType="separate"/>
            </w:r>
            <w:r w:rsidR="00DE3C06">
              <w:rPr>
                <w:noProof/>
                <w:webHidden/>
              </w:rPr>
              <w:t>49</w:t>
            </w:r>
            <w:r w:rsidR="00DE3C06">
              <w:rPr>
                <w:noProof/>
                <w:webHidden/>
              </w:rPr>
              <w:fldChar w:fldCharType="end"/>
            </w:r>
          </w:hyperlink>
        </w:p>
        <w:p w14:paraId="20831191" w14:textId="77777777" w:rsidR="00DE3C06" w:rsidRDefault="00000000" w:rsidP="00DE3C06">
          <w:pPr>
            <w:pStyle w:val="TDC1"/>
            <w:tabs>
              <w:tab w:val="right" w:leader="dot" w:pos="9016"/>
            </w:tabs>
            <w:rPr>
              <w:rFonts w:eastAsiaTheme="minorEastAsia"/>
              <w:noProof/>
              <w:sz w:val="22"/>
              <w:szCs w:val="22"/>
              <w:lang w:val="es-CO" w:eastAsia="es-CO"/>
            </w:rPr>
          </w:pPr>
          <w:hyperlink w:anchor="_Toc234168108" w:history="1">
            <w:r w:rsidR="00DE3C06" w:rsidRPr="002D6A59">
              <w:rPr>
                <w:rStyle w:val="Hipervnculo"/>
                <w:rFonts w:cs="Tahoma"/>
                <w:noProof/>
              </w:rPr>
              <w:t>9.3 Instancias de participación internas</w:t>
            </w:r>
            <w:r w:rsidR="00DE3C06">
              <w:rPr>
                <w:noProof/>
                <w:webHidden/>
              </w:rPr>
              <w:tab/>
            </w:r>
            <w:r w:rsidR="00DE3C06">
              <w:rPr>
                <w:noProof/>
                <w:webHidden/>
              </w:rPr>
              <w:fldChar w:fldCharType="begin"/>
            </w:r>
            <w:r w:rsidR="00DE3C06">
              <w:rPr>
                <w:noProof/>
                <w:webHidden/>
              </w:rPr>
              <w:instrText xml:space="preserve"> PAGEREF _Toc234168108 \h </w:instrText>
            </w:r>
            <w:r w:rsidR="00DE3C06">
              <w:rPr>
                <w:noProof/>
                <w:webHidden/>
              </w:rPr>
            </w:r>
            <w:r w:rsidR="00DE3C06">
              <w:rPr>
                <w:noProof/>
                <w:webHidden/>
              </w:rPr>
              <w:fldChar w:fldCharType="separate"/>
            </w:r>
            <w:r w:rsidR="00DE3C06">
              <w:rPr>
                <w:noProof/>
                <w:webHidden/>
              </w:rPr>
              <w:t>51</w:t>
            </w:r>
            <w:r w:rsidR="00DE3C06">
              <w:rPr>
                <w:noProof/>
                <w:webHidden/>
              </w:rPr>
              <w:fldChar w:fldCharType="end"/>
            </w:r>
          </w:hyperlink>
        </w:p>
        <w:p w14:paraId="5F459A07" w14:textId="77777777" w:rsidR="00DE3C06" w:rsidRDefault="00000000" w:rsidP="00DE3C06">
          <w:pPr>
            <w:pStyle w:val="TDC1"/>
            <w:tabs>
              <w:tab w:val="left" w:pos="660"/>
              <w:tab w:val="right" w:leader="dot" w:pos="9016"/>
            </w:tabs>
            <w:rPr>
              <w:rFonts w:eastAsiaTheme="minorEastAsia"/>
              <w:noProof/>
              <w:sz w:val="22"/>
              <w:szCs w:val="22"/>
              <w:lang w:val="es-CO" w:eastAsia="es-CO"/>
            </w:rPr>
          </w:pPr>
          <w:hyperlink w:anchor="_Toc234168109" w:history="1">
            <w:r w:rsidR="00DE3C06" w:rsidRPr="002D6A59">
              <w:rPr>
                <w:rStyle w:val="Hipervnculo"/>
                <w:rFonts w:cs="Tahoma"/>
                <w:noProof/>
              </w:rPr>
              <w:t>10.</w:t>
            </w:r>
            <w:r w:rsidR="00DE3C06">
              <w:rPr>
                <w:rFonts w:eastAsiaTheme="minorEastAsia"/>
                <w:noProof/>
                <w:sz w:val="22"/>
                <w:szCs w:val="22"/>
                <w:lang w:val="es-CO" w:eastAsia="es-CO"/>
              </w:rPr>
              <w:tab/>
            </w:r>
            <w:r w:rsidR="00DE3C06" w:rsidRPr="002D6A59">
              <w:rPr>
                <w:rStyle w:val="Hipervnculo"/>
                <w:rFonts w:cs="Tahoma"/>
                <w:noProof/>
              </w:rPr>
              <w:t>ASUNTOS JURÍDICOS Y DE CONTROL</w:t>
            </w:r>
            <w:r w:rsidR="00DE3C06">
              <w:rPr>
                <w:noProof/>
                <w:webHidden/>
              </w:rPr>
              <w:tab/>
            </w:r>
            <w:r w:rsidR="00DE3C06">
              <w:rPr>
                <w:noProof/>
                <w:webHidden/>
              </w:rPr>
              <w:fldChar w:fldCharType="begin"/>
            </w:r>
            <w:r w:rsidR="00DE3C06">
              <w:rPr>
                <w:noProof/>
                <w:webHidden/>
              </w:rPr>
              <w:instrText xml:space="preserve"> PAGEREF _Toc234168109 \h </w:instrText>
            </w:r>
            <w:r w:rsidR="00DE3C06">
              <w:rPr>
                <w:noProof/>
                <w:webHidden/>
              </w:rPr>
            </w:r>
            <w:r w:rsidR="00DE3C06">
              <w:rPr>
                <w:noProof/>
                <w:webHidden/>
              </w:rPr>
              <w:fldChar w:fldCharType="separate"/>
            </w:r>
            <w:r w:rsidR="00DE3C06">
              <w:rPr>
                <w:noProof/>
                <w:webHidden/>
              </w:rPr>
              <w:t>52</w:t>
            </w:r>
            <w:r w:rsidR="00DE3C06">
              <w:rPr>
                <w:noProof/>
                <w:webHidden/>
              </w:rPr>
              <w:fldChar w:fldCharType="end"/>
            </w:r>
          </w:hyperlink>
        </w:p>
        <w:p w14:paraId="0C32DAC8" w14:textId="77777777" w:rsidR="00DE3C06" w:rsidRDefault="00000000" w:rsidP="00DE3C06">
          <w:pPr>
            <w:pStyle w:val="TDC1"/>
            <w:tabs>
              <w:tab w:val="right" w:leader="dot" w:pos="9016"/>
            </w:tabs>
            <w:rPr>
              <w:rFonts w:eastAsiaTheme="minorEastAsia"/>
              <w:noProof/>
              <w:sz w:val="22"/>
              <w:szCs w:val="22"/>
              <w:lang w:val="es-CO" w:eastAsia="es-CO"/>
            </w:rPr>
          </w:pPr>
          <w:hyperlink w:anchor="_Toc234168110" w:history="1">
            <w:r w:rsidR="00DE3C06" w:rsidRPr="002D6A59">
              <w:rPr>
                <w:rStyle w:val="Hipervnculo"/>
                <w:rFonts w:cs="Tahoma"/>
                <w:noProof/>
              </w:rPr>
              <w:t>10.1 Acciones judiciales</w:t>
            </w:r>
            <w:r w:rsidR="00DE3C06">
              <w:rPr>
                <w:noProof/>
                <w:webHidden/>
              </w:rPr>
              <w:tab/>
            </w:r>
            <w:r w:rsidR="00DE3C06">
              <w:rPr>
                <w:noProof/>
                <w:webHidden/>
              </w:rPr>
              <w:fldChar w:fldCharType="begin"/>
            </w:r>
            <w:r w:rsidR="00DE3C06">
              <w:rPr>
                <w:noProof/>
                <w:webHidden/>
              </w:rPr>
              <w:instrText xml:space="preserve"> PAGEREF _Toc234168110 \h </w:instrText>
            </w:r>
            <w:r w:rsidR="00DE3C06">
              <w:rPr>
                <w:noProof/>
                <w:webHidden/>
              </w:rPr>
            </w:r>
            <w:r w:rsidR="00DE3C06">
              <w:rPr>
                <w:noProof/>
                <w:webHidden/>
              </w:rPr>
              <w:fldChar w:fldCharType="separate"/>
            </w:r>
            <w:r w:rsidR="00DE3C06">
              <w:rPr>
                <w:noProof/>
                <w:webHidden/>
              </w:rPr>
              <w:t>52</w:t>
            </w:r>
            <w:r w:rsidR="00DE3C06">
              <w:rPr>
                <w:noProof/>
                <w:webHidden/>
              </w:rPr>
              <w:fldChar w:fldCharType="end"/>
            </w:r>
          </w:hyperlink>
        </w:p>
        <w:p w14:paraId="15FFF523" w14:textId="77777777" w:rsidR="00DE3C06" w:rsidRDefault="00000000" w:rsidP="00DE3C06">
          <w:pPr>
            <w:pStyle w:val="TDC1"/>
            <w:tabs>
              <w:tab w:val="right" w:leader="dot" w:pos="9016"/>
            </w:tabs>
            <w:rPr>
              <w:rFonts w:eastAsiaTheme="minorEastAsia"/>
              <w:noProof/>
              <w:sz w:val="22"/>
              <w:szCs w:val="22"/>
              <w:lang w:val="es-CO" w:eastAsia="es-CO"/>
            </w:rPr>
          </w:pPr>
          <w:hyperlink w:anchor="_Toc234168111" w:history="1">
            <w:r w:rsidR="00DE3C06" w:rsidRPr="002D6A59">
              <w:rPr>
                <w:rStyle w:val="Hipervnculo"/>
                <w:rFonts w:cs="Tahoma"/>
                <w:noProof/>
              </w:rPr>
              <w:t>10.2 Procesos disciplinarios</w:t>
            </w:r>
            <w:r w:rsidR="00DE3C06">
              <w:rPr>
                <w:noProof/>
                <w:webHidden/>
              </w:rPr>
              <w:tab/>
            </w:r>
            <w:r w:rsidR="00DE3C06">
              <w:rPr>
                <w:noProof/>
                <w:webHidden/>
              </w:rPr>
              <w:fldChar w:fldCharType="begin"/>
            </w:r>
            <w:r w:rsidR="00DE3C06">
              <w:rPr>
                <w:noProof/>
                <w:webHidden/>
              </w:rPr>
              <w:instrText xml:space="preserve"> PAGEREF _Toc234168111 \h </w:instrText>
            </w:r>
            <w:r w:rsidR="00DE3C06">
              <w:rPr>
                <w:noProof/>
                <w:webHidden/>
              </w:rPr>
            </w:r>
            <w:r w:rsidR="00DE3C06">
              <w:rPr>
                <w:noProof/>
                <w:webHidden/>
              </w:rPr>
              <w:fldChar w:fldCharType="separate"/>
            </w:r>
            <w:r w:rsidR="00DE3C06">
              <w:rPr>
                <w:noProof/>
                <w:webHidden/>
              </w:rPr>
              <w:t>56</w:t>
            </w:r>
            <w:r w:rsidR="00DE3C06">
              <w:rPr>
                <w:noProof/>
                <w:webHidden/>
              </w:rPr>
              <w:fldChar w:fldCharType="end"/>
            </w:r>
          </w:hyperlink>
        </w:p>
        <w:p w14:paraId="176C0853" w14:textId="77777777" w:rsidR="00DE3C06" w:rsidRDefault="00000000" w:rsidP="00DE3C06">
          <w:pPr>
            <w:pStyle w:val="TDC1"/>
            <w:tabs>
              <w:tab w:val="right" w:leader="dot" w:pos="9016"/>
            </w:tabs>
            <w:rPr>
              <w:rFonts w:eastAsiaTheme="minorEastAsia"/>
              <w:noProof/>
              <w:sz w:val="22"/>
              <w:szCs w:val="22"/>
              <w:lang w:val="es-CO" w:eastAsia="es-CO"/>
            </w:rPr>
          </w:pPr>
          <w:hyperlink w:anchor="_Toc234168112" w:history="1">
            <w:r w:rsidR="00DE3C06" w:rsidRPr="002D6A59">
              <w:rPr>
                <w:rStyle w:val="Hipervnculo"/>
                <w:rFonts w:cs="Tahoma"/>
                <w:noProof/>
              </w:rPr>
              <w:t>10.2.1 Control Archivo Expedientes Disciplinarios</w:t>
            </w:r>
            <w:r w:rsidR="00DE3C06">
              <w:rPr>
                <w:noProof/>
                <w:webHidden/>
              </w:rPr>
              <w:tab/>
            </w:r>
            <w:r w:rsidR="00DE3C06">
              <w:rPr>
                <w:noProof/>
                <w:webHidden/>
              </w:rPr>
              <w:fldChar w:fldCharType="begin"/>
            </w:r>
            <w:r w:rsidR="00DE3C06">
              <w:rPr>
                <w:noProof/>
                <w:webHidden/>
              </w:rPr>
              <w:instrText xml:space="preserve"> PAGEREF _Toc234168112 \h </w:instrText>
            </w:r>
            <w:r w:rsidR="00DE3C06">
              <w:rPr>
                <w:noProof/>
                <w:webHidden/>
              </w:rPr>
            </w:r>
            <w:r w:rsidR="00DE3C06">
              <w:rPr>
                <w:noProof/>
                <w:webHidden/>
              </w:rPr>
              <w:fldChar w:fldCharType="separate"/>
            </w:r>
            <w:r w:rsidR="00DE3C06">
              <w:rPr>
                <w:noProof/>
                <w:webHidden/>
              </w:rPr>
              <w:t>57</w:t>
            </w:r>
            <w:r w:rsidR="00DE3C06">
              <w:rPr>
                <w:noProof/>
                <w:webHidden/>
              </w:rPr>
              <w:fldChar w:fldCharType="end"/>
            </w:r>
          </w:hyperlink>
        </w:p>
        <w:p w14:paraId="26880C01" w14:textId="77777777" w:rsidR="00DE3C06" w:rsidRDefault="00000000" w:rsidP="00DE3C06">
          <w:pPr>
            <w:pStyle w:val="TDC1"/>
            <w:tabs>
              <w:tab w:val="right" w:leader="dot" w:pos="9016"/>
            </w:tabs>
            <w:rPr>
              <w:rFonts w:eastAsiaTheme="minorEastAsia"/>
              <w:noProof/>
              <w:sz w:val="22"/>
              <w:szCs w:val="22"/>
              <w:lang w:val="es-CO" w:eastAsia="es-CO"/>
            </w:rPr>
          </w:pPr>
          <w:hyperlink w:anchor="_Toc234168113" w:history="1">
            <w:r w:rsidR="00DE3C06" w:rsidRPr="002D6A59">
              <w:rPr>
                <w:rStyle w:val="Hipervnculo"/>
                <w:rFonts w:cs="Tahoma"/>
                <w:noProof/>
              </w:rPr>
              <w:t>10.3 Estado del sistema de control interno</w:t>
            </w:r>
            <w:r w:rsidR="00DE3C06">
              <w:rPr>
                <w:noProof/>
                <w:webHidden/>
              </w:rPr>
              <w:tab/>
            </w:r>
            <w:r w:rsidR="00DE3C06">
              <w:rPr>
                <w:noProof/>
                <w:webHidden/>
              </w:rPr>
              <w:fldChar w:fldCharType="begin"/>
            </w:r>
            <w:r w:rsidR="00DE3C06">
              <w:rPr>
                <w:noProof/>
                <w:webHidden/>
              </w:rPr>
              <w:instrText xml:space="preserve"> PAGEREF _Toc234168113 \h </w:instrText>
            </w:r>
            <w:r w:rsidR="00DE3C06">
              <w:rPr>
                <w:noProof/>
                <w:webHidden/>
              </w:rPr>
            </w:r>
            <w:r w:rsidR="00DE3C06">
              <w:rPr>
                <w:noProof/>
                <w:webHidden/>
              </w:rPr>
              <w:fldChar w:fldCharType="separate"/>
            </w:r>
            <w:r w:rsidR="00DE3C06">
              <w:rPr>
                <w:noProof/>
                <w:webHidden/>
              </w:rPr>
              <w:t>58</w:t>
            </w:r>
            <w:r w:rsidR="00DE3C06">
              <w:rPr>
                <w:noProof/>
                <w:webHidden/>
              </w:rPr>
              <w:fldChar w:fldCharType="end"/>
            </w:r>
          </w:hyperlink>
        </w:p>
        <w:p w14:paraId="4C415083" w14:textId="77777777" w:rsidR="00DE3C06" w:rsidRDefault="00000000" w:rsidP="00DE3C06">
          <w:pPr>
            <w:pStyle w:val="TDC1"/>
            <w:tabs>
              <w:tab w:val="right" w:leader="dot" w:pos="9016"/>
            </w:tabs>
            <w:rPr>
              <w:rFonts w:eastAsiaTheme="minorEastAsia"/>
              <w:noProof/>
              <w:sz w:val="22"/>
              <w:szCs w:val="22"/>
              <w:lang w:val="es-CO" w:eastAsia="es-CO"/>
            </w:rPr>
          </w:pPr>
          <w:hyperlink w:anchor="_Toc234168114" w:history="1">
            <w:r w:rsidR="00DE3C06" w:rsidRPr="002D6A59">
              <w:rPr>
                <w:rStyle w:val="Hipervnculo"/>
                <w:rFonts w:cs="Tahoma"/>
                <w:noProof/>
              </w:rPr>
              <w:t>10.4   Planes de mejoramiento</w:t>
            </w:r>
            <w:r w:rsidR="00DE3C06">
              <w:rPr>
                <w:noProof/>
                <w:webHidden/>
              </w:rPr>
              <w:tab/>
            </w:r>
            <w:r w:rsidR="00DE3C06">
              <w:rPr>
                <w:noProof/>
                <w:webHidden/>
              </w:rPr>
              <w:fldChar w:fldCharType="begin"/>
            </w:r>
            <w:r w:rsidR="00DE3C06">
              <w:rPr>
                <w:noProof/>
                <w:webHidden/>
              </w:rPr>
              <w:instrText xml:space="preserve"> PAGEREF _Toc234168114 \h </w:instrText>
            </w:r>
            <w:r w:rsidR="00DE3C06">
              <w:rPr>
                <w:noProof/>
                <w:webHidden/>
              </w:rPr>
            </w:r>
            <w:r w:rsidR="00DE3C06">
              <w:rPr>
                <w:noProof/>
                <w:webHidden/>
              </w:rPr>
              <w:fldChar w:fldCharType="separate"/>
            </w:r>
            <w:r w:rsidR="00DE3C06">
              <w:rPr>
                <w:noProof/>
                <w:webHidden/>
              </w:rPr>
              <w:t>59</w:t>
            </w:r>
            <w:r w:rsidR="00DE3C06">
              <w:rPr>
                <w:noProof/>
                <w:webHidden/>
              </w:rPr>
              <w:fldChar w:fldCharType="end"/>
            </w:r>
          </w:hyperlink>
        </w:p>
        <w:p w14:paraId="00BA9CBE" w14:textId="77777777" w:rsidR="00DE3C06" w:rsidRDefault="00000000" w:rsidP="00DE3C06">
          <w:pPr>
            <w:pStyle w:val="TDC1"/>
            <w:tabs>
              <w:tab w:val="right" w:leader="dot" w:pos="9016"/>
            </w:tabs>
            <w:rPr>
              <w:rFonts w:eastAsiaTheme="minorEastAsia"/>
              <w:noProof/>
              <w:sz w:val="22"/>
              <w:szCs w:val="22"/>
              <w:lang w:val="es-CO" w:eastAsia="es-CO"/>
            </w:rPr>
          </w:pPr>
          <w:hyperlink w:anchor="_Toc234168115" w:history="1">
            <w:r w:rsidR="00DE3C06" w:rsidRPr="002D6A59">
              <w:rPr>
                <w:rStyle w:val="Hipervnculo"/>
                <w:rFonts w:cs="Tahoma"/>
                <w:noProof/>
              </w:rPr>
              <w:t>10.5 Mapa de riesgos de la entidad</w:t>
            </w:r>
            <w:r w:rsidR="00DE3C06">
              <w:rPr>
                <w:noProof/>
                <w:webHidden/>
              </w:rPr>
              <w:tab/>
            </w:r>
            <w:r w:rsidR="00DE3C06">
              <w:rPr>
                <w:noProof/>
                <w:webHidden/>
              </w:rPr>
              <w:fldChar w:fldCharType="begin"/>
            </w:r>
            <w:r w:rsidR="00DE3C06">
              <w:rPr>
                <w:noProof/>
                <w:webHidden/>
              </w:rPr>
              <w:instrText xml:space="preserve"> PAGEREF _Toc234168115 \h </w:instrText>
            </w:r>
            <w:r w:rsidR="00DE3C06">
              <w:rPr>
                <w:noProof/>
                <w:webHidden/>
              </w:rPr>
            </w:r>
            <w:r w:rsidR="00DE3C06">
              <w:rPr>
                <w:noProof/>
                <w:webHidden/>
              </w:rPr>
              <w:fldChar w:fldCharType="separate"/>
            </w:r>
            <w:r w:rsidR="00DE3C06">
              <w:rPr>
                <w:noProof/>
                <w:webHidden/>
              </w:rPr>
              <w:t>60</w:t>
            </w:r>
            <w:r w:rsidR="00DE3C06">
              <w:rPr>
                <w:noProof/>
                <w:webHidden/>
              </w:rPr>
              <w:fldChar w:fldCharType="end"/>
            </w:r>
          </w:hyperlink>
        </w:p>
        <w:p w14:paraId="121BCEC3" w14:textId="77777777" w:rsidR="00DE3C06" w:rsidRDefault="00000000" w:rsidP="00DE3C06">
          <w:pPr>
            <w:pStyle w:val="TDC1"/>
            <w:tabs>
              <w:tab w:val="left" w:pos="660"/>
              <w:tab w:val="right" w:leader="dot" w:pos="9016"/>
            </w:tabs>
            <w:rPr>
              <w:rFonts w:eastAsiaTheme="minorEastAsia"/>
              <w:noProof/>
              <w:sz w:val="22"/>
              <w:szCs w:val="22"/>
              <w:lang w:val="es-CO" w:eastAsia="es-CO"/>
            </w:rPr>
          </w:pPr>
          <w:hyperlink w:anchor="_Toc234168116" w:history="1">
            <w:r w:rsidR="00DE3C06" w:rsidRPr="002D6A59">
              <w:rPr>
                <w:rStyle w:val="Hipervnculo"/>
                <w:rFonts w:cs="Tahoma"/>
                <w:noProof/>
              </w:rPr>
              <w:t>11.</w:t>
            </w:r>
            <w:r w:rsidR="00DE3C06">
              <w:rPr>
                <w:rFonts w:eastAsiaTheme="minorEastAsia"/>
                <w:noProof/>
                <w:sz w:val="22"/>
                <w:szCs w:val="22"/>
                <w:lang w:val="es-CO" w:eastAsia="es-CO"/>
              </w:rPr>
              <w:tab/>
            </w:r>
            <w:r w:rsidR="00DE3C06" w:rsidRPr="002D6A59">
              <w:rPr>
                <w:rStyle w:val="Hipervnculo"/>
                <w:rFonts w:cs="Tahoma"/>
                <w:noProof/>
              </w:rPr>
              <w:t>TEMAS PRIORITARIOS TÉCNICOS Y ESTRATÉGICOS</w:t>
            </w:r>
            <w:r w:rsidR="00DE3C06">
              <w:rPr>
                <w:noProof/>
                <w:webHidden/>
              </w:rPr>
              <w:tab/>
            </w:r>
            <w:r w:rsidR="00DE3C06">
              <w:rPr>
                <w:noProof/>
                <w:webHidden/>
              </w:rPr>
              <w:fldChar w:fldCharType="begin"/>
            </w:r>
            <w:r w:rsidR="00DE3C06">
              <w:rPr>
                <w:noProof/>
                <w:webHidden/>
              </w:rPr>
              <w:instrText xml:space="preserve"> PAGEREF _Toc234168116 \h </w:instrText>
            </w:r>
            <w:r w:rsidR="00DE3C06">
              <w:rPr>
                <w:noProof/>
                <w:webHidden/>
              </w:rPr>
            </w:r>
            <w:r w:rsidR="00DE3C06">
              <w:rPr>
                <w:noProof/>
                <w:webHidden/>
              </w:rPr>
              <w:fldChar w:fldCharType="separate"/>
            </w:r>
            <w:r w:rsidR="00DE3C06">
              <w:rPr>
                <w:noProof/>
                <w:webHidden/>
              </w:rPr>
              <w:t>60</w:t>
            </w:r>
            <w:r w:rsidR="00DE3C06">
              <w:rPr>
                <w:noProof/>
                <w:webHidden/>
              </w:rPr>
              <w:fldChar w:fldCharType="end"/>
            </w:r>
          </w:hyperlink>
        </w:p>
        <w:p w14:paraId="4FD7C8FC" w14:textId="77777777" w:rsidR="00DE3C06" w:rsidRDefault="00000000" w:rsidP="00DE3C06">
          <w:pPr>
            <w:pStyle w:val="TDC1"/>
            <w:tabs>
              <w:tab w:val="right" w:leader="dot" w:pos="9016"/>
            </w:tabs>
            <w:rPr>
              <w:rFonts w:eastAsiaTheme="minorEastAsia"/>
              <w:noProof/>
              <w:sz w:val="22"/>
              <w:szCs w:val="22"/>
              <w:lang w:val="es-CO" w:eastAsia="es-CO"/>
            </w:rPr>
          </w:pPr>
          <w:hyperlink w:anchor="_Toc234168117" w:history="1">
            <w:r w:rsidR="00DE3C06" w:rsidRPr="002D6A59">
              <w:rPr>
                <w:rStyle w:val="Hipervnculo"/>
                <w:rFonts w:cs="Tahoma"/>
                <w:noProof/>
              </w:rPr>
              <w:t>11.1. Temas Prioritarios Técnicos ART</w:t>
            </w:r>
            <w:r w:rsidR="00DE3C06">
              <w:rPr>
                <w:noProof/>
                <w:webHidden/>
              </w:rPr>
              <w:tab/>
            </w:r>
            <w:r w:rsidR="00DE3C06">
              <w:rPr>
                <w:noProof/>
                <w:webHidden/>
              </w:rPr>
              <w:fldChar w:fldCharType="begin"/>
            </w:r>
            <w:r w:rsidR="00DE3C06">
              <w:rPr>
                <w:noProof/>
                <w:webHidden/>
              </w:rPr>
              <w:instrText xml:space="preserve"> PAGEREF _Toc234168117 \h </w:instrText>
            </w:r>
            <w:r w:rsidR="00DE3C06">
              <w:rPr>
                <w:noProof/>
                <w:webHidden/>
              </w:rPr>
            </w:r>
            <w:r w:rsidR="00DE3C06">
              <w:rPr>
                <w:noProof/>
                <w:webHidden/>
              </w:rPr>
              <w:fldChar w:fldCharType="separate"/>
            </w:r>
            <w:r w:rsidR="00DE3C06">
              <w:rPr>
                <w:noProof/>
                <w:webHidden/>
              </w:rPr>
              <w:t>60</w:t>
            </w:r>
            <w:r w:rsidR="00DE3C06">
              <w:rPr>
                <w:noProof/>
                <w:webHidden/>
              </w:rPr>
              <w:fldChar w:fldCharType="end"/>
            </w:r>
          </w:hyperlink>
        </w:p>
        <w:p w14:paraId="24464F17" w14:textId="77777777" w:rsidR="00DE3C06" w:rsidRDefault="00000000" w:rsidP="00DE3C06">
          <w:pPr>
            <w:pStyle w:val="TDC1"/>
            <w:tabs>
              <w:tab w:val="right" w:leader="dot" w:pos="9016"/>
            </w:tabs>
            <w:rPr>
              <w:rFonts w:eastAsiaTheme="minorEastAsia"/>
              <w:noProof/>
              <w:sz w:val="22"/>
              <w:szCs w:val="22"/>
              <w:lang w:val="es-CO" w:eastAsia="es-CO"/>
            </w:rPr>
          </w:pPr>
          <w:hyperlink w:anchor="_Toc234168118" w:history="1">
            <w:r w:rsidR="00DE3C06" w:rsidRPr="002D6A59">
              <w:rPr>
                <w:rStyle w:val="Hipervnculo"/>
                <w:rFonts w:cs="Tahoma"/>
                <w:noProof/>
              </w:rPr>
              <w:t>11.2. Temas Prioritarios, de especial atención Técnica, Administrativa, Jurídica, Contractual y Financiera ART</w:t>
            </w:r>
            <w:r w:rsidR="00DE3C06">
              <w:rPr>
                <w:noProof/>
                <w:webHidden/>
              </w:rPr>
              <w:tab/>
            </w:r>
            <w:r w:rsidR="00DE3C06">
              <w:rPr>
                <w:noProof/>
                <w:webHidden/>
              </w:rPr>
              <w:fldChar w:fldCharType="begin"/>
            </w:r>
            <w:r w:rsidR="00DE3C06">
              <w:rPr>
                <w:noProof/>
                <w:webHidden/>
              </w:rPr>
              <w:instrText xml:space="preserve"> PAGEREF _Toc234168118 \h </w:instrText>
            </w:r>
            <w:r w:rsidR="00DE3C06">
              <w:rPr>
                <w:noProof/>
                <w:webHidden/>
              </w:rPr>
            </w:r>
            <w:r w:rsidR="00DE3C06">
              <w:rPr>
                <w:noProof/>
                <w:webHidden/>
              </w:rPr>
              <w:fldChar w:fldCharType="separate"/>
            </w:r>
            <w:r w:rsidR="00DE3C06">
              <w:rPr>
                <w:noProof/>
                <w:webHidden/>
              </w:rPr>
              <w:t>65</w:t>
            </w:r>
            <w:r w:rsidR="00DE3C06">
              <w:rPr>
                <w:noProof/>
                <w:webHidden/>
              </w:rPr>
              <w:fldChar w:fldCharType="end"/>
            </w:r>
          </w:hyperlink>
        </w:p>
        <w:p w14:paraId="3854F7ED" w14:textId="77777777" w:rsidR="00DE3C06" w:rsidRDefault="00000000" w:rsidP="00DE3C06">
          <w:pPr>
            <w:pStyle w:val="TDC1"/>
            <w:tabs>
              <w:tab w:val="left" w:pos="660"/>
              <w:tab w:val="right" w:leader="dot" w:pos="9016"/>
            </w:tabs>
            <w:rPr>
              <w:rFonts w:eastAsiaTheme="minorEastAsia"/>
              <w:noProof/>
              <w:sz w:val="22"/>
              <w:szCs w:val="22"/>
              <w:lang w:val="es-CO" w:eastAsia="es-CO"/>
            </w:rPr>
          </w:pPr>
          <w:hyperlink w:anchor="_Toc234168119" w:history="1">
            <w:r w:rsidR="00DE3C06" w:rsidRPr="002D6A59">
              <w:rPr>
                <w:rStyle w:val="Hipervnculo"/>
                <w:rFonts w:cs="Tahoma"/>
                <w:noProof/>
              </w:rPr>
              <w:t>12.</w:t>
            </w:r>
            <w:r w:rsidR="00DE3C06">
              <w:rPr>
                <w:rFonts w:eastAsiaTheme="minorEastAsia"/>
                <w:noProof/>
                <w:sz w:val="22"/>
                <w:szCs w:val="22"/>
                <w:lang w:val="es-CO" w:eastAsia="es-CO"/>
              </w:rPr>
              <w:tab/>
            </w:r>
            <w:r w:rsidR="00DE3C06" w:rsidRPr="002D6A59">
              <w:rPr>
                <w:rStyle w:val="Hipervnculo"/>
                <w:rFonts w:cs="Tahoma"/>
                <w:noProof/>
              </w:rPr>
              <w:t>SISTEMAS DE INFORMACIÓN Y BASES DE DATOS</w:t>
            </w:r>
            <w:r w:rsidR="00DE3C06">
              <w:rPr>
                <w:noProof/>
                <w:webHidden/>
              </w:rPr>
              <w:tab/>
            </w:r>
            <w:r w:rsidR="00DE3C06">
              <w:rPr>
                <w:noProof/>
                <w:webHidden/>
              </w:rPr>
              <w:fldChar w:fldCharType="begin"/>
            </w:r>
            <w:r w:rsidR="00DE3C06">
              <w:rPr>
                <w:noProof/>
                <w:webHidden/>
              </w:rPr>
              <w:instrText xml:space="preserve"> PAGEREF _Toc234168119 \h </w:instrText>
            </w:r>
            <w:r w:rsidR="00DE3C06">
              <w:rPr>
                <w:noProof/>
                <w:webHidden/>
              </w:rPr>
            </w:r>
            <w:r w:rsidR="00DE3C06">
              <w:rPr>
                <w:noProof/>
                <w:webHidden/>
              </w:rPr>
              <w:fldChar w:fldCharType="separate"/>
            </w:r>
            <w:r w:rsidR="00DE3C06">
              <w:rPr>
                <w:noProof/>
                <w:webHidden/>
              </w:rPr>
              <w:t>65</w:t>
            </w:r>
            <w:r w:rsidR="00DE3C06">
              <w:rPr>
                <w:noProof/>
                <w:webHidden/>
              </w:rPr>
              <w:fldChar w:fldCharType="end"/>
            </w:r>
          </w:hyperlink>
        </w:p>
        <w:p w14:paraId="2EB81F62" w14:textId="77777777" w:rsidR="00DE3C06" w:rsidRDefault="00000000" w:rsidP="00DE3C06">
          <w:pPr>
            <w:pStyle w:val="TDC1"/>
            <w:tabs>
              <w:tab w:val="right" w:leader="dot" w:pos="9016"/>
            </w:tabs>
            <w:rPr>
              <w:rFonts w:eastAsiaTheme="minorEastAsia"/>
              <w:noProof/>
              <w:sz w:val="22"/>
              <w:szCs w:val="22"/>
              <w:lang w:val="es-CO" w:eastAsia="es-CO"/>
            </w:rPr>
          </w:pPr>
          <w:hyperlink w:anchor="_Toc234168120" w:history="1">
            <w:r w:rsidR="00DE3C06" w:rsidRPr="002D6A59">
              <w:rPr>
                <w:rStyle w:val="Hipervnculo"/>
                <w:noProof/>
              </w:rPr>
              <w:t>12.1 Sistema de Información PDET</w:t>
            </w:r>
            <w:r w:rsidR="00DE3C06">
              <w:rPr>
                <w:noProof/>
                <w:webHidden/>
              </w:rPr>
              <w:tab/>
            </w:r>
            <w:r w:rsidR="00DE3C06">
              <w:rPr>
                <w:noProof/>
                <w:webHidden/>
              </w:rPr>
              <w:fldChar w:fldCharType="begin"/>
            </w:r>
            <w:r w:rsidR="00DE3C06">
              <w:rPr>
                <w:noProof/>
                <w:webHidden/>
              </w:rPr>
              <w:instrText xml:space="preserve"> PAGEREF _Toc234168120 \h </w:instrText>
            </w:r>
            <w:r w:rsidR="00DE3C06">
              <w:rPr>
                <w:noProof/>
                <w:webHidden/>
              </w:rPr>
            </w:r>
            <w:r w:rsidR="00DE3C06">
              <w:rPr>
                <w:noProof/>
                <w:webHidden/>
              </w:rPr>
              <w:fldChar w:fldCharType="separate"/>
            </w:r>
            <w:r w:rsidR="00DE3C06">
              <w:rPr>
                <w:noProof/>
                <w:webHidden/>
              </w:rPr>
              <w:t>67</w:t>
            </w:r>
            <w:r w:rsidR="00DE3C06">
              <w:rPr>
                <w:noProof/>
                <w:webHidden/>
              </w:rPr>
              <w:fldChar w:fldCharType="end"/>
            </w:r>
          </w:hyperlink>
        </w:p>
        <w:p w14:paraId="6898B5BC" w14:textId="77777777" w:rsidR="00DE3C06" w:rsidRDefault="00000000" w:rsidP="00DE3C06">
          <w:pPr>
            <w:pStyle w:val="TDC1"/>
            <w:tabs>
              <w:tab w:val="left" w:pos="660"/>
              <w:tab w:val="right" w:leader="dot" w:pos="9016"/>
            </w:tabs>
            <w:rPr>
              <w:rFonts w:eastAsiaTheme="minorEastAsia"/>
              <w:noProof/>
              <w:sz w:val="22"/>
              <w:szCs w:val="22"/>
              <w:lang w:val="es-CO" w:eastAsia="es-CO"/>
            </w:rPr>
          </w:pPr>
          <w:hyperlink w:anchor="_Toc234168121" w:history="1">
            <w:r w:rsidR="00DE3C06" w:rsidRPr="002D6A59">
              <w:rPr>
                <w:rStyle w:val="Hipervnculo"/>
                <w:rFonts w:cs="Tahoma"/>
                <w:noProof/>
              </w:rPr>
              <w:t>13.</w:t>
            </w:r>
            <w:r w:rsidR="00DE3C06">
              <w:rPr>
                <w:rFonts w:eastAsiaTheme="minorEastAsia"/>
                <w:noProof/>
                <w:sz w:val="22"/>
                <w:szCs w:val="22"/>
                <w:lang w:val="es-CO" w:eastAsia="es-CO"/>
              </w:rPr>
              <w:tab/>
            </w:r>
            <w:r w:rsidR="00DE3C06" w:rsidRPr="002D6A59">
              <w:rPr>
                <w:rStyle w:val="Hipervnculo"/>
                <w:rFonts w:cs="Tahoma"/>
                <w:noProof/>
              </w:rPr>
              <w:t>LISTADO DE ANEXOS</w:t>
            </w:r>
            <w:r w:rsidR="00DE3C06">
              <w:rPr>
                <w:noProof/>
                <w:webHidden/>
              </w:rPr>
              <w:tab/>
            </w:r>
            <w:r w:rsidR="00DE3C06">
              <w:rPr>
                <w:noProof/>
                <w:webHidden/>
              </w:rPr>
              <w:fldChar w:fldCharType="begin"/>
            </w:r>
            <w:r w:rsidR="00DE3C06">
              <w:rPr>
                <w:noProof/>
                <w:webHidden/>
              </w:rPr>
              <w:instrText xml:space="preserve"> PAGEREF _Toc234168121 \h </w:instrText>
            </w:r>
            <w:r w:rsidR="00DE3C06">
              <w:rPr>
                <w:noProof/>
                <w:webHidden/>
              </w:rPr>
            </w:r>
            <w:r w:rsidR="00DE3C06">
              <w:rPr>
                <w:noProof/>
                <w:webHidden/>
              </w:rPr>
              <w:fldChar w:fldCharType="separate"/>
            </w:r>
            <w:r w:rsidR="00DE3C06">
              <w:rPr>
                <w:noProof/>
                <w:webHidden/>
              </w:rPr>
              <w:t>77</w:t>
            </w:r>
            <w:r w:rsidR="00DE3C06">
              <w:rPr>
                <w:noProof/>
                <w:webHidden/>
              </w:rPr>
              <w:fldChar w:fldCharType="end"/>
            </w:r>
          </w:hyperlink>
        </w:p>
        <w:p w14:paraId="4580E3E9" w14:textId="77777777" w:rsidR="00DE3C06" w:rsidRPr="000C5171" w:rsidRDefault="00DE3C06" w:rsidP="00DE3C06">
          <w:pPr>
            <w:spacing w:line="276" w:lineRule="auto"/>
            <w:rPr>
              <w:rFonts w:cs="Tahoma"/>
              <w:sz w:val="22"/>
              <w:szCs w:val="22"/>
            </w:rPr>
          </w:pPr>
          <w:r w:rsidRPr="000C5171">
            <w:rPr>
              <w:rFonts w:cs="Tahoma"/>
              <w:b/>
              <w:bCs/>
              <w:sz w:val="22"/>
              <w:szCs w:val="22"/>
            </w:rPr>
            <w:fldChar w:fldCharType="end"/>
          </w:r>
        </w:p>
      </w:sdtContent>
    </w:sdt>
    <w:p w14:paraId="7CB429B9" w14:textId="77777777" w:rsidR="00DE3C06" w:rsidRPr="000C5171" w:rsidRDefault="00DE3C06" w:rsidP="00DE3C06">
      <w:pPr>
        <w:spacing w:line="276" w:lineRule="auto"/>
        <w:rPr>
          <w:rFonts w:eastAsiaTheme="minorEastAsia" w:cs="Tahoma"/>
          <w:b/>
          <w:bCs/>
          <w:color w:val="FE1B7B"/>
          <w:sz w:val="22"/>
          <w:szCs w:val="22"/>
        </w:rPr>
      </w:pPr>
      <w:r w:rsidRPr="000C5171">
        <w:rPr>
          <w:rFonts w:cs="Tahoma"/>
          <w:sz w:val="22"/>
          <w:szCs w:val="22"/>
        </w:rPr>
        <w:br w:type="page"/>
      </w:r>
    </w:p>
    <w:p w14:paraId="26B1945F" w14:textId="77777777" w:rsidR="00DE3C06" w:rsidRPr="000C5171" w:rsidRDefault="00DE3C06">
      <w:pPr>
        <w:pStyle w:val="Ttulo1"/>
        <w:numPr>
          <w:ilvl w:val="0"/>
          <w:numId w:val="2"/>
        </w:numPr>
        <w:spacing w:line="276" w:lineRule="auto"/>
        <w:ind w:left="284"/>
        <w:rPr>
          <w:rFonts w:cs="Tahoma"/>
        </w:rPr>
      </w:pPr>
      <w:bookmarkStart w:id="1" w:name="_Toc234168073"/>
      <w:r w:rsidRPr="000C5171">
        <w:rPr>
          <w:rFonts w:cs="Tahoma"/>
        </w:rPr>
        <w:lastRenderedPageBreak/>
        <w:t>INTRODUCCIÓN</w:t>
      </w:r>
      <w:bookmarkEnd w:id="1"/>
      <w:r w:rsidRPr="000C5171">
        <w:rPr>
          <w:rFonts w:cs="Tahoma"/>
        </w:rPr>
        <w:tab/>
      </w:r>
      <w:r w:rsidRPr="000C5171">
        <w:rPr>
          <w:rFonts w:cs="Tahoma"/>
        </w:rPr>
        <w:tab/>
      </w:r>
      <w:r w:rsidRPr="000C5171">
        <w:rPr>
          <w:rFonts w:cs="Tahoma"/>
        </w:rPr>
        <w:tab/>
      </w:r>
      <w:r w:rsidRPr="000C5171">
        <w:rPr>
          <w:rFonts w:cs="Tahoma"/>
        </w:rPr>
        <w:tab/>
      </w:r>
      <w:r w:rsidRPr="000C5171">
        <w:rPr>
          <w:rFonts w:cs="Tahoma"/>
        </w:rPr>
        <w:tab/>
      </w:r>
      <w:r w:rsidRPr="000C5171">
        <w:rPr>
          <w:rFonts w:cs="Tahoma"/>
        </w:rPr>
        <w:tab/>
      </w:r>
      <w:r w:rsidRPr="000C5171">
        <w:rPr>
          <w:rFonts w:cs="Tahoma"/>
        </w:rPr>
        <w:tab/>
      </w:r>
      <w:r w:rsidRPr="000C5171">
        <w:rPr>
          <w:rFonts w:cs="Tahoma"/>
        </w:rPr>
        <w:tab/>
      </w:r>
      <w:r w:rsidRPr="000C5171">
        <w:rPr>
          <w:rFonts w:cs="Tahoma"/>
        </w:rPr>
        <w:tab/>
      </w:r>
    </w:p>
    <w:p w14:paraId="0595C53A" w14:textId="77777777" w:rsidR="00DE3C06" w:rsidRPr="000C5171" w:rsidRDefault="00DE3C06" w:rsidP="00DE3C06">
      <w:pPr>
        <w:spacing w:line="276" w:lineRule="auto"/>
        <w:jc w:val="both"/>
        <w:rPr>
          <w:rFonts w:cs="Tahoma"/>
          <w:sz w:val="22"/>
          <w:szCs w:val="22"/>
        </w:rPr>
      </w:pPr>
      <w:r w:rsidRPr="000C5171">
        <w:rPr>
          <w:rFonts w:cs="Tahoma"/>
          <w:sz w:val="22"/>
          <w:szCs w:val="22"/>
        </w:rPr>
        <w:t>La Agencia de Renovación de Territorio (ART) creada mediante Decreto 2366 del 7 de diciembre de 2015</w:t>
      </w:r>
      <w:r w:rsidRPr="000C5171">
        <w:rPr>
          <w:rStyle w:val="Refdenotaalpie"/>
          <w:rFonts w:cs="Tahoma"/>
          <w:sz w:val="22"/>
          <w:szCs w:val="22"/>
        </w:rPr>
        <w:footnoteReference w:id="1"/>
      </w:r>
      <w:r w:rsidRPr="000C5171">
        <w:rPr>
          <w:rFonts w:cs="Tahoma"/>
          <w:sz w:val="22"/>
          <w:szCs w:val="22"/>
        </w:rPr>
        <w:t>, fue concebida como una agencia estatal de naturaleza especial del sector descentralizado de la Rama Ejecutiva del Orden Nacional; en la actualidad se encuentra adscrita al sector Administrativo de la Presidencia de la República</w:t>
      </w:r>
      <w:r w:rsidRPr="000C5171">
        <w:rPr>
          <w:rStyle w:val="Refdenotaalpie"/>
          <w:rFonts w:cs="Tahoma"/>
          <w:sz w:val="22"/>
          <w:szCs w:val="22"/>
        </w:rPr>
        <w:footnoteReference w:id="2"/>
      </w:r>
      <w:r w:rsidRPr="000C5171">
        <w:rPr>
          <w:rFonts w:cs="Tahoma"/>
          <w:sz w:val="22"/>
          <w:szCs w:val="22"/>
        </w:rPr>
        <w:t>, y tiene como objeto: “</w:t>
      </w:r>
      <w:r w:rsidRPr="000C5171">
        <w:rPr>
          <w:rFonts w:cs="Tahoma"/>
          <w:i/>
          <w:iCs/>
          <w:sz w:val="22"/>
          <w:szCs w:val="22"/>
        </w:rPr>
        <w:t>Coordinar la intervención de las entidades nacionales y territoriales en las zonas rurales afectadas por el conflicto priorizadas por el Gobierno Nacional, a través de la ejecución de planes y proyectos para la renovación territorial de estas zonas, que permitan su reactivación económica, social y su fortalecimiento institucional, para que se integren de manera sostenible al desarrollo del país”.</w:t>
      </w:r>
      <w:r w:rsidRPr="000C5171">
        <w:rPr>
          <w:rFonts w:cs="Tahoma"/>
          <w:sz w:val="22"/>
          <w:szCs w:val="22"/>
        </w:rPr>
        <w:t xml:space="preserve"> </w:t>
      </w:r>
    </w:p>
    <w:p w14:paraId="5DBBE4D6" w14:textId="77777777" w:rsidR="00DE3C06" w:rsidRPr="000C5171" w:rsidRDefault="00DE3C06" w:rsidP="00DE3C06">
      <w:pPr>
        <w:spacing w:after="0" w:line="276" w:lineRule="auto"/>
        <w:jc w:val="both"/>
        <w:rPr>
          <w:rFonts w:cs="Tahoma"/>
          <w:sz w:val="22"/>
          <w:szCs w:val="22"/>
        </w:rPr>
      </w:pPr>
      <w:r w:rsidRPr="000C5171">
        <w:rPr>
          <w:rFonts w:cs="Tahoma"/>
          <w:sz w:val="22"/>
          <w:szCs w:val="22"/>
        </w:rPr>
        <w:t>Precisamente, el Decreto Ley893 de 2017 “Por el cual se crean los Programas de Desarrollo con Enfoque Territorial -PDET”, determinó que estos programas “Serán coordinados por la Agencia de Renovación del Territorio (ART), en ejercicio de las funciones que le son propias de conformidad con lo dispuesto en el Decreto-ley 2366 de 2015, modificado por el Decreto-ley 2096 de 2016”</w:t>
      </w:r>
    </w:p>
    <w:p w14:paraId="0C46CA60" w14:textId="77777777" w:rsidR="00DE3C06" w:rsidRPr="000C5171" w:rsidRDefault="00DE3C06" w:rsidP="00DE3C06">
      <w:pPr>
        <w:spacing w:after="0" w:line="276" w:lineRule="auto"/>
        <w:jc w:val="both"/>
        <w:rPr>
          <w:rFonts w:cs="Tahoma"/>
          <w:sz w:val="22"/>
          <w:szCs w:val="22"/>
        </w:rPr>
      </w:pPr>
    </w:p>
    <w:p w14:paraId="12CE762E" w14:textId="77777777" w:rsidR="00DE3C06" w:rsidRPr="000C5171" w:rsidRDefault="00DE3C06" w:rsidP="00DE3C06">
      <w:pPr>
        <w:spacing w:after="0" w:line="276" w:lineRule="auto"/>
        <w:jc w:val="both"/>
        <w:rPr>
          <w:rFonts w:cs="Tahoma"/>
          <w:sz w:val="22"/>
          <w:szCs w:val="22"/>
        </w:rPr>
      </w:pPr>
      <w:r w:rsidRPr="000C5171">
        <w:rPr>
          <w:rFonts w:cs="Tahoma"/>
          <w:sz w:val="22"/>
          <w:szCs w:val="22"/>
        </w:rPr>
        <w:t>Los PDET se establecieron en el Acuerdo de Paz suscrito en 2016 entre el Gobierno nacional y las entonces FARC-EP, con el objetivo de “lograr la transformación estructural del campo y el ámbito rural, y un relacionamiento equitativo entre el campo y la ciudad” en beneficio de zonas que se priorizarían por los siguientes criterios: (i) los niveles de pobreza, en particular de pobreza extrema y de necesidades insatisfechas, (</w:t>
      </w:r>
      <w:proofErr w:type="spellStart"/>
      <w:r w:rsidRPr="000C5171">
        <w:rPr>
          <w:rFonts w:cs="Tahoma"/>
          <w:sz w:val="22"/>
          <w:szCs w:val="22"/>
        </w:rPr>
        <w:t>ii</w:t>
      </w:r>
      <w:proofErr w:type="spellEnd"/>
      <w:r w:rsidRPr="000C5171">
        <w:rPr>
          <w:rFonts w:cs="Tahoma"/>
          <w:sz w:val="22"/>
          <w:szCs w:val="22"/>
        </w:rPr>
        <w:t>) el grado de afectación derivado del conflicto, (</w:t>
      </w:r>
      <w:proofErr w:type="spellStart"/>
      <w:r w:rsidRPr="000C5171">
        <w:rPr>
          <w:rFonts w:cs="Tahoma"/>
          <w:sz w:val="22"/>
          <w:szCs w:val="22"/>
        </w:rPr>
        <w:t>iii</w:t>
      </w:r>
      <w:proofErr w:type="spellEnd"/>
      <w:r w:rsidRPr="000C5171">
        <w:rPr>
          <w:rFonts w:cs="Tahoma"/>
          <w:sz w:val="22"/>
          <w:szCs w:val="22"/>
        </w:rPr>
        <w:t>) la debilidad de la institucionalidad administrativa y de la capacidad de gestión y (</w:t>
      </w:r>
      <w:proofErr w:type="spellStart"/>
      <w:r w:rsidRPr="000C5171">
        <w:rPr>
          <w:rFonts w:cs="Tahoma"/>
          <w:sz w:val="22"/>
          <w:szCs w:val="22"/>
        </w:rPr>
        <w:t>iv</w:t>
      </w:r>
      <w:proofErr w:type="spellEnd"/>
      <w:r w:rsidRPr="000C5171">
        <w:rPr>
          <w:rFonts w:cs="Tahoma"/>
          <w:sz w:val="22"/>
          <w:szCs w:val="22"/>
        </w:rPr>
        <w:t>) la presencia de cultivos de uso ilícito y de otras economías ilegítimas.</w:t>
      </w:r>
    </w:p>
    <w:p w14:paraId="15988A1F" w14:textId="77777777" w:rsidR="00DE3C06" w:rsidRPr="000C5171" w:rsidRDefault="00DE3C06" w:rsidP="00DE3C06">
      <w:pPr>
        <w:spacing w:after="0" w:line="276" w:lineRule="auto"/>
        <w:jc w:val="both"/>
        <w:rPr>
          <w:rFonts w:cs="Tahoma"/>
          <w:sz w:val="22"/>
          <w:szCs w:val="22"/>
        </w:rPr>
      </w:pPr>
    </w:p>
    <w:p w14:paraId="17F77EB6" w14:textId="77777777" w:rsidR="00DE3C06" w:rsidRPr="000C5171" w:rsidRDefault="00DE3C06" w:rsidP="00DE3C06">
      <w:pPr>
        <w:spacing w:after="0" w:line="276" w:lineRule="auto"/>
        <w:jc w:val="both"/>
        <w:rPr>
          <w:rFonts w:cs="Tahoma"/>
          <w:b/>
          <w:bCs/>
          <w:sz w:val="22"/>
          <w:szCs w:val="22"/>
        </w:rPr>
      </w:pPr>
      <w:r w:rsidRPr="000C5171">
        <w:rPr>
          <w:rFonts w:cs="Tahoma"/>
          <w:sz w:val="22"/>
          <w:szCs w:val="22"/>
        </w:rPr>
        <w:t>El Decreto Ley 893 de 2017 priorizó como beneficiarios de los PDET a 170 municipios</w:t>
      </w:r>
      <w:r w:rsidRPr="000C5171">
        <w:rPr>
          <w:rStyle w:val="Refdenotaalpie"/>
          <w:rFonts w:cs="Tahoma"/>
          <w:sz w:val="22"/>
          <w:szCs w:val="22"/>
        </w:rPr>
        <w:footnoteReference w:id="3"/>
      </w:r>
      <w:r w:rsidRPr="000C5171">
        <w:rPr>
          <w:rFonts w:cs="Tahoma"/>
          <w:sz w:val="22"/>
          <w:szCs w:val="22"/>
        </w:rPr>
        <w:t xml:space="preserve"> de 19 departamentos del país, agrupados en 16 subregiones y consagró, además, entre otras, las siguientes disposiciones</w:t>
      </w:r>
      <w:r w:rsidRPr="000C5171">
        <w:rPr>
          <w:rFonts w:cs="Tahoma"/>
          <w:b/>
          <w:bCs/>
          <w:sz w:val="22"/>
          <w:szCs w:val="22"/>
        </w:rPr>
        <w:t xml:space="preserve">:   </w:t>
      </w:r>
    </w:p>
    <w:p w14:paraId="0CC4CF7B" w14:textId="77777777" w:rsidR="00DE3C06" w:rsidRPr="000C5171" w:rsidRDefault="00DE3C06" w:rsidP="00DE3C06">
      <w:pPr>
        <w:spacing w:after="0" w:line="276" w:lineRule="auto"/>
        <w:jc w:val="both"/>
        <w:rPr>
          <w:rFonts w:cs="Tahoma"/>
          <w:sz w:val="22"/>
          <w:szCs w:val="22"/>
        </w:rPr>
      </w:pPr>
    </w:p>
    <w:p w14:paraId="75586078" w14:textId="77777777" w:rsidR="00DE3C06" w:rsidRPr="000C5171" w:rsidRDefault="00DE3C06" w:rsidP="00DE3C06">
      <w:pPr>
        <w:spacing w:after="0" w:line="276" w:lineRule="auto"/>
        <w:ind w:left="709" w:hanging="425"/>
        <w:jc w:val="both"/>
        <w:rPr>
          <w:rFonts w:cs="Tahoma"/>
          <w:sz w:val="22"/>
          <w:szCs w:val="22"/>
        </w:rPr>
      </w:pPr>
      <w:r w:rsidRPr="000C5171">
        <w:rPr>
          <w:rFonts w:cs="Tahoma"/>
          <w:sz w:val="22"/>
          <w:szCs w:val="22"/>
        </w:rPr>
        <w:t>-</w:t>
      </w:r>
      <w:r w:rsidRPr="000C5171">
        <w:rPr>
          <w:rFonts w:cs="Tahoma"/>
          <w:sz w:val="22"/>
          <w:szCs w:val="22"/>
        </w:rPr>
        <w:tab/>
        <w:t xml:space="preserve">Los  PDET tienen por finalidad la transformación estructural del campo y el ámbito rural, y un relacionamiento equitativo entre el campo y la ciudad en las zonas </w:t>
      </w:r>
      <w:r w:rsidRPr="000C5171">
        <w:rPr>
          <w:rFonts w:cs="Tahoma"/>
          <w:sz w:val="22"/>
          <w:szCs w:val="22"/>
        </w:rPr>
        <w:lastRenderedPageBreak/>
        <w:t>priorizadas asegurando el bienestar y el buen vivir, la protección de la riqueza pluriétnica y multicultural, el desarrollo de la economía campesina y familiar y las formas propias de producción de los pueblos, comunidades y grupos étnicos, el desarrollo y la integración de las regiones abandonadas y golpeadas por el conflicto, el reconocimiento y la promoción a las organizaciones de mujeres rurales, y hacer del campo colombiano un escenario de reconciliación.</w:t>
      </w:r>
    </w:p>
    <w:p w14:paraId="5A79E409" w14:textId="77777777" w:rsidR="00DE3C06" w:rsidRPr="000C5171" w:rsidRDefault="00DE3C06" w:rsidP="00DE3C06">
      <w:pPr>
        <w:spacing w:after="0" w:line="276" w:lineRule="auto"/>
        <w:jc w:val="both"/>
        <w:rPr>
          <w:rFonts w:cs="Tahoma"/>
          <w:sz w:val="22"/>
          <w:szCs w:val="22"/>
        </w:rPr>
      </w:pPr>
    </w:p>
    <w:p w14:paraId="112E24A2" w14:textId="77777777" w:rsidR="00DE3C06" w:rsidRPr="000C5171" w:rsidRDefault="00DE3C06">
      <w:pPr>
        <w:pStyle w:val="Prrafodelista"/>
        <w:numPr>
          <w:ilvl w:val="0"/>
          <w:numId w:val="19"/>
        </w:numPr>
        <w:spacing w:after="0" w:line="276" w:lineRule="auto"/>
        <w:ind w:left="709" w:hanging="283"/>
        <w:jc w:val="both"/>
        <w:rPr>
          <w:rFonts w:cs="Tahoma"/>
          <w:sz w:val="22"/>
          <w:szCs w:val="22"/>
        </w:rPr>
      </w:pPr>
      <w:r w:rsidRPr="000C5171">
        <w:rPr>
          <w:rFonts w:cs="Tahoma"/>
          <w:sz w:val="22"/>
          <w:szCs w:val="22"/>
        </w:rPr>
        <w:t>Los PDET se formularán por una sola vez y tendrán una vigencia de diez (10) años. La ley 2565 de 2026, modificatoria del decreto ley 893 de 2017, amplió la vigencia de los PDET hasta el 28 de mayo de 2037.</w:t>
      </w:r>
    </w:p>
    <w:p w14:paraId="32401BE4" w14:textId="77777777" w:rsidR="00DE3C06" w:rsidRPr="000C5171" w:rsidRDefault="00DE3C06" w:rsidP="00DE3C06">
      <w:pPr>
        <w:pStyle w:val="Prrafodelista"/>
        <w:spacing w:after="0" w:line="276" w:lineRule="auto"/>
        <w:ind w:left="709"/>
        <w:jc w:val="both"/>
        <w:rPr>
          <w:rFonts w:cs="Tahoma"/>
          <w:sz w:val="22"/>
          <w:szCs w:val="22"/>
        </w:rPr>
      </w:pPr>
    </w:p>
    <w:p w14:paraId="607AC6C7" w14:textId="77777777" w:rsidR="00DE3C06" w:rsidRPr="000C5171" w:rsidRDefault="00DE3C06">
      <w:pPr>
        <w:pStyle w:val="Prrafodelista"/>
        <w:numPr>
          <w:ilvl w:val="0"/>
          <w:numId w:val="19"/>
        </w:numPr>
        <w:spacing w:after="0" w:line="276" w:lineRule="auto"/>
        <w:ind w:left="709" w:hanging="283"/>
        <w:jc w:val="both"/>
        <w:rPr>
          <w:rFonts w:cs="Tahoma"/>
          <w:sz w:val="22"/>
          <w:szCs w:val="22"/>
        </w:rPr>
      </w:pPr>
      <w:r w:rsidRPr="000C5171">
        <w:rPr>
          <w:rFonts w:cs="Tahoma"/>
          <w:sz w:val="22"/>
          <w:szCs w:val="22"/>
        </w:rPr>
        <w:t>Cada PDET se instrumentalizará en un Plan de Acción para la Transformación Regional (PATR), construido de manera participativa, amplia y pluralista en las zonas priorizadas.</w:t>
      </w:r>
    </w:p>
    <w:p w14:paraId="6128AF09" w14:textId="77777777" w:rsidR="00DE3C06" w:rsidRPr="000C5171" w:rsidRDefault="00DE3C06" w:rsidP="00DE3C06">
      <w:pPr>
        <w:spacing w:after="0" w:line="276" w:lineRule="auto"/>
        <w:ind w:left="709" w:hanging="283"/>
        <w:jc w:val="both"/>
        <w:rPr>
          <w:rFonts w:cs="Tahoma"/>
          <w:sz w:val="22"/>
          <w:szCs w:val="22"/>
        </w:rPr>
      </w:pPr>
    </w:p>
    <w:p w14:paraId="70CFD7F0" w14:textId="77777777" w:rsidR="00DE3C06" w:rsidRPr="000C5171" w:rsidRDefault="00DE3C06" w:rsidP="00DE3C06">
      <w:pPr>
        <w:spacing w:after="0" w:line="276" w:lineRule="auto"/>
        <w:ind w:left="709" w:hanging="283"/>
        <w:jc w:val="both"/>
        <w:rPr>
          <w:rFonts w:cs="Tahoma"/>
          <w:sz w:val="22"/>
          <w:szCs w:val="22"/>
        </w:rPr>
      </w:pPr>
      <w:r w:rsidRPr="000C5171">
        <w:rPr>
          <w:rFonts w:cs="Tahoma"/>
          <w:sz w:val="22"/>
          <w:szCs w:val="22"/>
        </w:rPr>
        <w:t>-</w:t>
      </w:r>
      <w:r w:rsidRPr="000C5171">
        <w:rPr>
          <w:rFonts w:cs="Tahoma"/>
          <w:sz w:val="22"/>
          <w:szCs w:val="22"/>
        </w:rPr>
        <w:tab/>
        <w:t>Los PATR se revisarán y actualizarán cada cinco (5) años de forma participativa en el territorio.</w:t>
      </w:r>
    </w:p>
    <w:p w14:paraId="709C1310" w14:textId="77777777" w:rsidR="00DE3C06" w:rsidRPr="000C5171" w:rsidRDefault="00DE3C06" w:rsidP="00DE3C06">
      <w:pPr>
        <w:spacing w:after="0" w:line="276" w:lineRule="auto"/>
        <w:ind w:left="709" w:hanging="283"/>
        <w:jc w:val="both"/>
        <w:rPr>
          <w:rFonts w:cs="Tahoma"/>
          <w:sz w:val="22"/>
          <w:szCs w:val="22"/>
        </w:rPr>
      </w:pPr>
    </w:p>
    <w:p w14:paraId="2E9436D6" w14:textId="77777777" w:rsidR="00DE3C06" w:rsidRPr="000C5171" w:rsidRDefault="00DE3C06" w:rsidP="00DE3C06">
      <w:pPr>
        <w:spacing w:after="0" w:line="276" w:lineRule="auto"/>
        <w:ind w:left="709" w:hanging="283"/>
        <w:jc w:val="both"/>
        <w:rPr>
          <w:rFonts w:cs="Tahoma"/>
          <w:sz w:val="22"/>
          <w:szCs w:val="22"/>
        </w:rPr>
      </w:pPr>
      <w:r w:rsidRPr="000C5171">
        <w:rPr>
          <w:rFonts w:cs="Tahoma"/>
          <w:sz w:val="22"/>
          <w:szCs w:val="22"/>
        </w:rPr>
        <w:t>-</w:t>
      </w:r>
      <w:r w:rsidRPr="000C5171">
        <w:rPr>
          <w:rFonts w:cs="Tahoma"/>
          <w:sz w:val="22"/>
          <w:szCs w:val="22"/>
        </w:rPr>
        <w:tab/>
        <w:t>Los PDET y los PATR deberán articularse y armonizarse con el Plan Nacional de Desarrollo, los planes de desarrollo de las entidades territoriales y demás instrumentos de planeación y ordenamiento del territorio, en aplicación de los criterios de coordinación, concurrencia y subsidiariedad. Los Planes Nacionales Sectoriales, Planes Integrales de Sustitución y Desarrollo Alternativo, Planes Integrales de Reparación Colectiva, los Planes de Retorno y Reubicación, el Plan Marco de Implementación cuando haya lugar y demás instrumentos derivados del Acuerdo Final deberán articularse con los PDET y los PATR.</w:t>
      </w:r>
    </w:p>
    <w:p w14:paraId="07088A7C" w14:textId="77777777" w:rsidR="00DE3C06" w:rsidRPr="000C5171" w:rsidRDefault="00DE3C06" w:rsidP="00DE3C06">
      <w:pPr>
        <w:spacing w:after="0" w:line="276" w:lineRule="auto"/>
        <w:ind w:left="709" w:hanging="283"/>
        <w:jc w:val="both"/>
        <w:rPr>
          <w:rFonts w:cs="Tahoma"/>
          <w:sz w:val="22"/>
          <w:szCs w:val="22"/>
        </w:rPr>
      </w:pPr>
    </w:p>
    <w:p w14:paraId="6DB5693F" w14:textId="77777777" w:rsidR="00DE3C06" w:rsidRPr="000C5171" w:rsidRDefault="00DE3C06" w:rsidP="00DE3C06">
      <w:pPr>
        <w:spacing w:after="0" w:line="276" w:lineRule="auto"/>
        <w:ind w:left="709" w:hanging="283"/>
        <w:jc w:val="both"/>
        <w:rPr>
          <w:rFonts w:cs="Tahoma"/>
          <w:sz w:val="22"/>
          <w:szCs w:val="22"/>
        </w:rPr>
      </w:pPr>
      <w:r w:rsidRPr="000C5171">
        <w:rPr>
          <w:rFonts w:cs="Tahoma"/>
          <w:sz w:val="22"/>
          <w:szCs w:val="22"/>
        </w:rPr>
        <w:t>-</w:t>
      </w:r>
      <w:r w:rsidRPr="000C5171">
        <w:rPr>
          <w:rFonts w:cs="Tahoma"/>
          <w:sz w:val="22"/>
          <w:szCs w:val="22"/>
        </w:rPr>
        <w:tab/>
        <w:t>En los casos donde el PDET cuya realización esté proyectada para hacerse en las regiones establecidas a través del presente decreto, incluyan territorios y zonas con presencia de pueblos, comunidades y grupos étnicos, los PATR se armonizarán con los planes de vida, planes de salvaguarda, etnodesarrollo, planes de manejo ambiental y ordenamiento territorial o sus equivalentes.</w:t>
      </w:r>
    </w:p>
    <w:p w14:paraId="63938A8C" w14:textId="77777777" w:rsidR="00DE3C06" w:rsidRPr="000C5171" w:rsidRDefault="00DE3C06" w:rsidP="00DE3C06">
      <w:pPr>
        <w:spacing w:after="0" w:line="276" w:lineRule="auto"/>
        <w:ind w:left="709" w:hanging="283"/>
        <w:jc w:val="both"/>
        <w:rPr>
          <w:rFonts w:cs="Tahoma"/>
          <w:sz w:val="22"/>
          <w:szCs w:val="22"/>
        </w:rPr>
      </w:pPr>
    </w:p>
    <w:p w14:paraId="2E371605" w14:textId="77777777" w:rsidR="00DE3C06" w:rsidRPr="000C5171" w:rsidRDefault="00DE3C06" w:rsidP="00DE3C06">
      <w:pPr>
        <w:spacing w:after="0" w:line="276" w:lineRule="auto"/>
        <w:ind w:left="709" w:hanging="283"/>
        <w:jc w:val="both"/>
        <w:rPr>
          <w:rFonts w:cs="Tahoma"/>
          <w:sz w:val="22"/>
          <w:szCs w:val="22"/>
        </w:rPr>
      </w:pPr>
      <w:r w:rsidRPr="000C5171">
        <w:rPr>
          <w:rFonts w:cs="Tahoma"/>
          <w:sz w:val="22"/>
          <w:szCs w:val="22"/>
        </w:rPr>
        <w:t>-</w:t>
      </w:r>
      <w:r w:rsidRPr="000C5171">
        <w:rPr>
          <w:rFonts w:cs="Tahoma"/>
          <w:sz w:val="22"/>
          <w:szCs w:val="22"/>
        </w:rPr>
        <w:tab/>
        <w:t>La Agencia de Renovación del Territorio (ART) dirigirá la construcción participativa y la respectiva revisión y seguimiento de los PATR de los PDET, y coordinará la estructuración y ejecución de los proyectos de dichos planes, en articulación con las entidades nacionales, territoriales y las autoridades tradicionales de los territorios de los pueblos, comunidades y grupos étnicos.</w:t>
      </w:r>
    </w:p>
    <w:p w14:paraId="12548CA5" w14:textId="77777777" w:rsidR="00DE3C06" w:rsidRPr="000C5171" w:rsidRDefault="00DE3C06" w:rsidP="00DE3C06">
      <w:pPr>
        <w:spacing w:after="0" w:line="276" w:lineRule="auto"/>
        <w:ind w:left="709" w:hanging="283"/>
        <w:jc w:val="both"/>
        <w:rPr>
          <w:rFonts w:cs="Tahoma"/>
          <w:sz w:val="22"/>
          <w:szCs w:val="22"/>
        </w:rPr>
      </w:pPr>
    </w:p>
    <w:p w14:paraId="50A44CB7" w14:textId="77777777" w:rsidR="00DE3C06" w:rsidRPr="000C5171" w:rsidRDefault="00DE3C06" w:rsidP="00DE3C06">
      <w:pPr>
        <w:spacing w:after="0" w:line="276" w:lineRule="auto"/>
        <w:ind w:left="709" w:hanging="283"/>
        <w:jc w:val="both"/>
        <w:rPr>
          <w:rFonts w:cs="Tahoma"/>
          <w:sz w:val="22"/>
          <w:szCs w:val="22"/>
        </w:rPr>
      </w:pPr>
      <w:r w:rsidRPr="000C5171">
        <w:rPr>
          <w:rFonts w:cs="Tahoma"/>
          <w:sz w:val="22"/>
          <w:szCs w:val="22"/>
        </w:rPr>
        <w:lastRenderedPageBreak/>
        <w:t>-</w:t>
      </w:r>
      <w:r w:rsidRPr="000C5171">
        <w:rPr>
          <w:rFonts w:cs="Tahoma"/>
          <w:sz w:val="22"/>
          <w:szCs w:val="22"/>
        </w:rPr>
        <w:tab/>
        <w:t>La coordinación de los PDET y la implementación de los PATR respetarán la autonomía de las entidades territoriales y tendrá en cuenta los principios de coordinación y colaboración previstos en la Constitución y en la ley.</w:t>
      </w:r>
    </w:p>
    <w:p w14:paraId="4A1FD9DA" w14:textId="77777777" w:rsidR="00DE3C06" w:rsidRPr="000C5171" w:rsidRDefault="00DE3C06" w:rsidP="00DE3C06">
      <w:pPr>
        <w:spacing w:after="0" w:line="276" w:lineRule="auto"/>
        <w:ind w:left="709" w:hanging="283"/>
        <w:jc w:val="both"/>
        <w:rPr>
          <w:rFonts w:cs="Tahoma"/>
          <w:sz w:val="22"/>
          <w:szCs w:val="22"/>
        </w:rPr>
      </w:pPr>
    </w:p>
    <w:p w14:paraId="42F56413" w14:textId="77777777" w:rsidR="00DE3C06" w:rsidRPr="000C5171" w:rsidRDefault="00DE3C06" w:rsidP="00DE3C06">
      <w:pPr>
        <w:spacing w:after="0" w:line="276" w:lineRule="auto"/>
        <w:ind w:left="709" w:hanging="283"/>
        <w:jc w:val="both"/>
        <w:rPr>
          <w:rFonts w:cs="Tahoma"/>
          <w:sz w:val="22"/>
          <w:szCs w:val="22"/>
        </w:rPr>
      </w:pPr>
      <w:r w:rsidRPr="000C5171">
        <w:rPr>
          <w:rFonts w:cs="Tahoma"/>
          <w:sz w:val="22"/>
          <w:szCs w:val="22"/>
        </w:rPr>
        <w:t>-</w:t>
      </w:r>
      <w:r w:rsidRPr="000C5171">
        <w:rPr>
          <w:rFonts w:cs="Tahoma"/>
          <w:sz w:val="22"/>
          <w:szCs w:val="22"/>
        </w:rPr>
        <w:tab/>
        <w:t>En las zonas donde se adelanten acciones para la sustitución voluntaria de cultivos de uso ilícito, que coincidan con los municipios priorizados en el artículo 3 del presente Decreto, la planeación y ejecución de esas acciones se integrarán en los PDET y los PATR.</w:t>
      </w:r>
    </w:p>
    <w:p w14:paraId="5B0D0B9C" w14:textId="77777777" w:rsidR="00DE3C06" w:rsidRPr="000C5171" w:rsidRDefault="00DE3C06" w:rsidP="00DE3C06">
      <w:pPr>
        <w:spacing w:after="0" w:line="276" w:lineRule="auto"/>
        <w:ind w:left="709" w:hanging="283"/>
        <w:jc w:val="both"/>
        <w:rPr>
          <w:rFonts w:cs="Tahoma"/>
          <w:sz w:val="22"/>
          <w:szCs w:val="22"/>
        </w:rPr>
      </w:pPr>
    </w:p>
    <w:p w14:paraId="1E83504B" w14:textId="77777777" w:rsidR="00DE3C06" w:rsidRPr="000C5171" w:rsidRDefault="00DE3C06" w:rsidP="00DE3C06">
      <w:pPr>
        <w:spacing w:after="0" w:line="276" w:lineRule="auto"/>
        <w:ind w:left="709" w:hanging="283"/>
        <w:jc w:val="both"/>
        <w:rPr>
          <w:rFonts w:cs="Tahoma"/>
          <w:sz w:val="22"/>
          <w:szCs w:val="22"/>
        </w:rPr>
      </w:pPr>
      <w:r w:rsidRPr="000C5171">
        <w:rPr>
          <w:rFonts w:cs="Tahoma"/>
          <w:sz w:val="22"/>
          <w:szCs w:val="22"/>
        </w:rPr>
        <w:t>-</w:t>
      </w:r>
      <w:r w:rsidRPr="000C5171">
        <w:rPr>
          <w:rFonts w:cs="Tahoma"/>
          <w:sz w:val="22"/>
          <w:szCs w:val="22"/>
        </w:rPr>
        <w:tab/>
        <w:t>Para la financiación de los PDET y los PATR el Gobierno nacional y las entidades territoriales contarán con los recursos del Presupuesto General de la Nación (PGN), del Sistema General de Participaciones (SGP), del Sistema General de Regalías (SGR) y las diferentes fuentes de financiación públicas o privadas, conforme a sus respectivos regímenes legales, así como recursos de la cooperación internacional.</w:t>
      </w:r>
    </w:p>
    <w:p w14:paraId="2EAC00F3" w14:textId="77777777" w:rsidR="00DE3C06" w:rsidRPr="000C5171" w:rsidRDefault="00DE3C06" w:rsidP="00DE3C06">
      <w:pPr>
        <w:spacing w:after="0" w:line="276" w:lineRule="auto"/>
        <w:ind w:left="709" w:hanging="283"/>
        <w:jc w:val="both"/>
        <w:rPr>
          <w:rFonts w:cs="Tahoma"/>
          <w:sz w:val="22"/>
          <w:szCs w:val="22"/>
        </w:rPr>
      </w:pPr>
    </w:p>
    <w:p w14:paraId="17AD2A7E" w14:textId="77777777" w:rsidR="00DE3C06" w:rsidRPr="000C5171" w:rsidRDefault="00DE3C06" w:rsidP="00DE3C06">
      <w:pPr>
        <w:spacing w:after="0" w:line="276" w:lineRule="auto"/>
        <w:ind w:left="709" w:hanging="283"/>
        <w:jc w:val="both"/>
        <w:rPr>
          <w:rFonts w:cs="Tahoma"/>
          <w:sz w:val="22"/>
          <w:szCs w:val="22"/>
        </w:rPr>
      </w:pPr>
      <w:r w:rsidRPr="000C5171">
        <w:rPr>
          <w:rFonts w:cs="Tahoma"/>
          <w:sz w:val="22"/>
          <w:szCs w:val="22"/>
        </w:rPr>
        <w:t>-</w:t>
      </w:r>
      <w:r w:rsidRPr="000C5171">
        <w:rPr>
          <w:rFonts w:cs="Tahoma"/>
          <w:sz w:val="22"/>
          <w:szCs w:val="22"/>
        </w:rPr>
        <w:tab/>
        <w:t xml:space="preserve">La financiación de los PDET y los PATR se programará en el marco de la sostenibilidad fiscal de acuerdo con el marco de gasto de mediano plazo y en estricto cumplimiento de la regla fiscal. En concordancia con el artículo transitorio “Plan de Inversiones para la Paz”, del Acto Legislativo 01 del 2016, estas inversiones serán adicionales a las ya programadas por las entidades públicas del orden nacional y territorial y serán orientadas al cierre de brechas sociales, económicas e institucionales. </w:t>
      </w:r>
    </w:p>
    <w:p w14:paraId="6943F0CC" w14:textId="77777777" w:rsidR="00DE3C06" w:rsidRPr="000C5171" w:rsidRDefault="00DE3C06" w:rsidP="00DE3C06">
      <w:pPr>
        <w:spacing w:after="0" w:line="276" w:lineRule="auto"/>
        <w:ind w:left="709" w:hanging="283"/>
        <w:jc w:val="both"/>
        <w:rPr>
          <w:rFonts w:cs="Tahoma"/>
          <w:sz w:val="22"/>
          <w:szCs w:val="22"/>
        </w:rPr>
      </w:pPr>
    </w:p>
    <w:p w14:paraId="6E79B7D2" w14:textId="77777777" w:rsidR="00DE3C06" w:rsidRPr="000C5171" w:rsidRDefault="00DE3C06" w:rsidP="00DE3C06">
      <w:pPr>
        <w:spacing w:after="0" w:line="276" w:lineRule="auto"/>
        <w:ind w:left="709" w:hanging="283"/>
        <w:jc w:val="both"/>
        <w:rPr>
          <w:rFonts w:cs="Tahoma"/>
          <w:sz w:val="22"/>
          <w:szCs w:val="22"/>
        </w:rPr>
      </w:pPr>
      <w:r w:rsidRPr="000C5171">
        <w:rPr>
          <w:rFonts w:cs="Tahoma"/>
          <w:sz w:val="22"/>
          <w:szCs w:val="22"/>
        </w:rPr>
        <w:t>-</w:t>
      </w:r>
      <w:r w:rsidRPr="000C5171">
        <w:rPr>
          <w:rFonts w:cs="Tahoma"/>
          <w:sz w:val="22"/>
          <w:szCs w:val="22"/>
        </w:rPr>
        <w:tab/>
        <w:t>Los PDET y los PATR, cuya realización esté proyectada para hacerse en las regiones PDET que incluyan territorios de pueblos y comunidades étnicas y zonas con presencia de grupos étnicos, deberán contemplar un mecanismo especial de consulta para su implementación.</w:t>
      </w:r>
    </w:p>
    <w:p w14:paraId="4E8DDAD7" w14:textId="77777777" w:rsidR="00DE3C06" w:rsidRPr="000C5171" w:rsidRDefault="00DE3C06" w:rsidP="00DE3C06">
      <w:pPr>
        <w:spacing w:after="0" w:line="276" w:lineRule="auto"/>
        <w:ind w:left="709" w:hanging="283"/>
        <w:jc w:val="both"/>
        <w:rPr>
          <w:rFonts w:cs="Tahoma"/>
          <w:sz w:val="22"/>
          <w:szCs w:val="22"/>
        </w:rPr>
      </w:pPr>
    </w:p>
    <w:p w14:paraId="33114525" w14:textId="77777777" w:rsidR="00DE3C06" w:rsidRPr="000C5171" w:rsidRDefault="00DE3C06" w:rsidP="00DE3C06">
      <w:pPr>
        <w:spacing w:after="0" w:line="276" w:lineRule="auto"/>
        <w:ind w:left="709" w:hanging="283"/>
        <w:jc w:val="both"/>
        <w:rPr>
          <w:rFonts w:cs="Tahoma"/>
          <w:sz w:val="22"/>
          <w:szCs w:val="22"/>
        </w:rPr>
      </w:pPr>
      <w:r w:rsidRPr="000C5171">
        <w:rPr>
          <w:rFonts w:cs="Tahoma"/>
          <w:sz w:val="22"/>
          <w:szCs w:val="22"/>
        </w:rPr>
        <w:t>-</w:t>
      </w:r>
      <w:r w:rsidRPr="000C5171">
        <w:rPr>
          <w:rFonts w:cs="Tahoma"/>
          <w:sz w:val="22"/>
          <w:szCs w:val="22"/>
        </w:rPr>
        <w:tab/>
        <w:t>El mecanismo especial de consulta se entenderá como la garantía de participación efectiva de los pueblos y comunidades étnicas en el diseño, la formulación, la ejecución y el seguimiento de los PDET y los PATR. Dicho mecanismo respetará su cosmovisión y sistemas propios de gobierno.</w:t>
      </w:r>
    </w:p>
    <w:p w14:paraId="38966A84" w14:textId="77777777" w:rsidR="00DE3C06" w:rsidRPr="000C5171" w:rsidRDefault="00DE3C06" w:rsidP="00DE3C06">
      <w:pPr>
        <w:spacing w:after="0" w:line="276" w:lineRule="auto"/>
        <w:ind w:left="709" w:hanging="283"/>
        <w:jc w:val="both"/>
        <w:rPr>
          <w:rFonts w:cs="Tahoma"/>
          <w:sz w:val="22"/>
          <w:szCs w:val="22"/>
        </w:rPr>
      </w:pPr>
    </w:p>
    <w:p w14:paraId="7D812E21" w14:textId="77777777" w:rsidR="00DE3C06" w:rsidRPr="000C5171" w:rsidRDefault="00DE3C06">
      <w:pPr>
        <w:pStyle w:val="Prrafodelista"/>
        <w:numPr>
          <w:ilvl w:val="0"/>
          <w:numId w:val="19"/>
        </w:numPr>
        <w:spacing w:after="0" w:line="276" w:lineRule="auto"/>
        <w:ind w:left="709" w:hanging="283"/>
        <w:jc w:val="both"/>
        <w:rPr>
          <w:rFonts w:cs="Tahoma"/>
          <w:sz w:val="22"/>
          <w:szCs w:val="22"/>
        </w:rPr>
      </w:pPr>
      <w:r w:rsidRPr="000C5171">
        <w:rPr>
          <w:rFonts w:cs="Tahoma"/>
          <w:sz w:val="22"/>
          <w:szCs w:val="22"/>
        </w:rPr>
        <w:t>La ley 2565 de 2016 determinó que los PDET y los PATR tendrán también un enfoque campesino.</w:t>
      </w:r>
    </w:p>
    <w:p w14:paraId="5FD3A292" w14:textId="77777777" w:rsidR="00DE3C06" w:rsidRPr="000C5171" w:rsidRDefault="00DE3C06" w:rsidP="00DE3C06">
      <w:pPr>
        <w:spacing w:after="0" w:line="276" w:lineRule="auto"/>
        <w:jc w:val="both"/>
        <w:rPr>
          <w:rFonts w:eastAsia="Arial" w:cs="Tahoma"/>
          <w:sz w:val="22"/>
          <w:szCs w:val="22"/>
        </w:rPr>
      </w:pPr>
    </w:p>
    <w:p w14:paraId="55109B2C" w14:textId="77777777" w:rsidR="00DE3C06" w:rsidRPr="000C5171" w:rsidRDefault="00DE3C06" w:rsidP="00DE3C06">
      <w:pPr>
        <w:spacing w:after="0" w:line="276" w:lineRule="auto"/>
        <w:jc w:val="both"/>
        <w:rPr>
          <w:rFonts w:cs="Tahoma"/>
          <w:sz w:val="22"/>
          <w:szCs w:val="22"/>
        </w:rPr>
      </w:pPr>
      <w:r w:rsidRPr="000C5171">
        <w:rPr>
          <w:rFonts w:eastAsia="Arial" w:cs="Tahoma"/>
          <w:sz w:val="22"/>
          <w:szCs w:val="22"/>
        </w:rPr>
        <w:t xml:space="preserve">Es </w:t>
      </w:r>
      <w:r w:rsidRPr="000C5171">
        <w:rPr>
          <w:rStyle w:val="vkekvd"/>
          <w:rFonts w:cs="Tahoma"/>
          <w:sz w:val="22"/>
          <w:szCs w:val="22"/>
          <w:shd w:val="clear" w:color="auto" w:fill="FFFFFF"/>
        </w:rPr>
        <w:t xml:space="preserve">importante mencionar que </w:t>
      </w:r>
      <w:r w:rsidRPr="000C5171">
        <w:rPr>
          <w:rFonts w:cs="Tahoma"/>
          <w:sz w:val="22"/>
          <w:szCs w:val="22"/>
        </w:rPr>
        <w:t xml:space="preserve">además de las funciones relacionadas con la implementación de los PDET-PATR, la Entidad tiene funciones asociadas al Programa Nacional Integral de </w:t>
      </w:r>
      <w:r w:rsidRPr="000C5171">
        <w:rPr>
          <w:rFonts w:cs="Tahoma"/>
          <w:sz w:val="22"/>
          <w:szCs w:val="22"/>
        </w:rPr>
        <w:lastRenderedPageBreak/>
        <w:t>Sustitución (PNIS)</w:t>
      </w:r>
      <w:r w:rsidRPr="000C5171">
        <w:rPr>
          <w:rStyle w:val="Refdenotaalpie"/>
          <w:rFonts w:cs="Tahoma"/>
          <w:sz w:val="22"/>
          <w:szCs w:val="22"/>
        </w:rPr>
        <w:footnoteReference w:id="4"/>
      </w:r>
      <w:r w:rsidRPr="000C5171">
        <w:rPr>
          <w:rFonts w:cs="Tahoma"/>
          <w:sz w:val="22"/>
          <w:szCs w:val="22"/>
        </w:rPr>
        <w:t>, las cuales se encuentran directamente a cargo de la</w:t>
      </w:r>
      <w:bookmarkStart w:id="2" w:name="_Hlk219997929"/>
      <w:r w:rsidRPr="000C5171">
        <w:rPr>
          <w:rFonts w:cs="Tahoma"/>
          <w:sz w:val="22"/>
          <w:szCs w:val="22"/>
        </w:rPr>
        <w:t xml:space="preserve"> dependencia denominada Dirección de Sustitución de Cultivos de Uso Ilícito (DSCUI)</w:t>
      </w:r>
      <w:r w:rsidRPr="000C5171">
        <w:rPr>
          <w:rStyle w:val="Refdenotaalpie"/>
          <w:rFonts w:cs="Tahoma"/>
          <w:sz w:val="22"/>
          <w:szCs w:val="22"/>
        </w:rPr>
        <w:footnoteReference w:id="5"/>
      </w:r>
      <w:r w:rsidRPr="000C5171">
        <w:rPr>
          <w:rFonts w:cs="Tahoma"/>
          <w:sz w:val="22"/>
          <w:szCs w:val="22"/>
        </w:rPr>
        <w:t xml:space="preserve"> </w:t>
      </w:r>
      <w:bookmarkEnd w:id="2"/>
      <w:r w:rsidRPr="000C5171">
        <w:rPr>
          <w:rFonts w:cs="Tahoma"/>
          <w:sz w:val="22"/>
          <w:szCs w:val="22"/>
        </w:rPr>
        <w:t>creada</w:t>
      </w:r>
      <w:r w:rsidRPr="000C5171">
        <w:rPr>
          <w:rFonts w:cs="Tahoma"/>
          <w:sz w:val="22"/>
          <w:szCs w:val="22"/>
          <w:shd w:val="clear" w:color="auto" w:fill="FFFFFF"/>
        </w:rPr>
        <w:t xml:space="preserve"> inicialmente como una Dirección General adscrita a la Alta Consejería para el Postconflicto</w:t>
      </w:r>
      <w:r w:rsidRPr="000C5171">
        <w:rPr>
          <w:rFonts w:cs="Tahoma"/>
          <w:sz w:val="22"/>
          <w:szCs w:val="22"/>
        </w:rPr>
        <w:t>.</w:t>
      </w:r>
    </w:p>
    <w:p w14:paraId="791DC28B" w14:textId="77777777" w:rsidR="00DE3C06" w:rsidRPr="000C5171" w:rsidRDefault="00DE3C06" w:rsidP="00DE3C06">
      <w:pPr>
        <w:spacing w:after="0" w:line="276" w:lineRule="auto"/>
        <w:jc w:val="both"/>
        <w:rPr>
          <w:rFonts w:eastAsia="Arial" w:cs="Tahoma"/>
          <w:b/>
          <w:bCs/>
          <w:sz w:val="22"/>
          <w:szCs w:val="22"/>
        </w:rPr>
      </w:pPr>
      <w:r w:rsidRPr="000C5171">
        <w:rPr>
          <w:rFonts w:cs="Tahoma"/>
          <w:sz w:val="22"/>
          <w:szCs w:val="22"/>
          <w:shd w:val="clear" w:color="auto" w:fill="FFFFFF"/>
        </w:rPr>
        <w:t xml:space="preserve"> </w:t>
      </w:r>
    </w:p>
    <w:p w14:paraId="05BD4D5B" w14:textId="77777777" w:rsidR="00DE3C06" w:rsidRPr="000C5171" w:rsidRDefault="00DE3C06" w:rsidP="00DE3C06">
      <w:pPr>
        <w:spacing w:after="0" w:line="276" w:lineRule="auto"/>
        <w:jc w:val="both"/>
        <w:rPr>
          <w:rFonts w:eastAsia="Arial" w:cs="Tahoma"/>
          <w:sz w:val="22"/>
          <w:szCs w:val="22"/>
        </w:rPr>
      </w:pPr>
      <w:r w:rsidRPr="000C5171">
        <w:rPr>
          <w:rFonts w:eastAsia="Arial" w:cs="Tahoma"/>
          <w:sz w:val="22"/>
          <w:szCs w:val="22"/>
        </w:rPr>
        <w:t xml:space="preserve">Actualmente la DSCUI se encuentra adscrita a la ART, como una dependencia con carácter especial (“J”) que cuenta con autonomía administrativa y financiera para el cumplimiento de sus funciones para la implementación del PNIS y en este periodo de gobierno de nuevos modelos de sustitución de cultivos de uso ilícito, en el marco del Plan Nacional de Desarrollo 2022-2026 y disposiciones legales vigentes. </w:t>
      </w:r>
    </w:p>
    <w:p w14:paraId="4A4D3D1A" w14:textId="77777777" w:rsidR="00DE3C06" w:rsidRPr="000C5171" w:rsidRDefault="00DE3C06" w:rsidP="00DE3C06">
      <w:pPr>
        <w:spacing w:after="0" w:line="276" w:lineRule="auto"/>
        <w:jc w:val="both"/>
        <w:rPr>
          <w:rFonts w:eastAsia="Arial" w:cs="Tahoma"/>
          <w:sz w:val="22"/>
          <w:szCs w:val="22"/>
        </w:rPr>
      </w:pPr>
    </w:p>
    <w:p w14:paraId="102DEC42" w14:textId="77777777" w:rsidR="00DE3C06" w:rsidRPr="000C5171" w:rsidRDefault="00DE3C06" w:rsidP="00DE3C06">
      <w:pPr>
        <w:spacing w:after="0" w:line="276" w:lineRule="auto"/>
        <w:jc w:val="both"/>
        <w:rPr>
          <w:rFonts w:eastAsia="Arial" w:cs="Tahoma"/>
          <w:sz w:val="22"/>
          <w:szCs w:val="22"/>
        </w:rPr>
      </w:pPr>
      <w:r w:rsidRPr="000C5171">
        <w:rPr>
          <w:rFonts w:eastAsia="Arial" w:cs="Tahoma"/>
          <w:sz w:val="22"/>
          <w:szCs w:val="22"/>
        </w:rPr>
        <w:t>En este contexto, es preciso señalar que La Agencia de Renovación del Territorio definió 4 líneas estratégicas en el “Plan estratégico ART 2023-2026 Territorios para la vida y la paz total</w:t>
      </w:r>
      <w:proofErr w:type="gramStart"/>
      <w:r w:rsidRPr="000C5171">
        <w:rPr>
          <w:rFonts w:eastAsia="Arial" w:cs="Tahoma"/>
          <w:sz w:val="22"/>
          <w:szCs w:val="22"/>
        </w:rPr>
        <w:t>” ,</w:t>
      </w:r>
      <w:proofErr w:type="gramEnd"/>
      <w:r w:rsidRPr="000C5171">
        <w:rPr>
          <w:rFonts w:eastAsia="Arial" w:cs="Tahoma"/>
          <w:sz w:val="22"/>
          <w:szCs w:val="22"/>
        </w:rPr>
        <w:t xml:space="preserve"> a fin de garantizar el cumplimiento de sus responsabilidades misionales referidas con los PDET-PATR (Líneas 1, 3 y 4 ) y el PNIS-DSCI (Línea 2):</w:t>
      </w:r>
    </w:p>
    <w:p w14:paraId="4CCD6356" w14:textId="77777777" w:rsidR="00DE3C06" w:rsidRPr="000C5171" w:rsidRDefault="00DE3C06" w:rsidP="00DE3C06">
      <w:pPr>
        <w:spacing w:after="0" w:line="276" w:lineRule="auto"/>
        <w:rPr>
          <w:rFonts w:eastAsia="Arial" w:cs="Tahoma"/>
          <w:sz w:val="22"/>
          <w:szCs w:val="22"/>
        </w:rPr>
      </w:pPr>
    </w:p>
    <w:p w14:paraId="7E68BF64" w14:textId="77777777" w:rsidR="00DE3C06" w:rsidRPr="000C5171" w:rsidRDefault="00DE3C06">
      <w:pPr>
        <w:pStyle w:val="Prrafodelista"/>
        <w:numPr>
          <w:ilvl w:val="0"/>
          <w:numId w:val="22"/>
        </w:numPr>
        <w:spacing w:after="0" w:line="276" w:lineRule="auto"/>
        <w:ind w:left="709" w:hanging="283"/>
        <w:jc w:val="both"/>
        <w:rPr>
          <w:rFonts w:cs="Tahoma"/>
          <w:sz w:val="22"/>
          <w:szCs w:val="22"/>
        </w:rPr>
      </w:pPr>
      <w:r w:rsidRPr="000C5171">
        <w:rPr>
          <w:rFonts w:cs="Tahoma"/>
          <w:b/>
          <w:bCs/>
          <w:sz w:val="22"/>
          <w:szCs w:val="22"/>
        </w:rPr>
        <w:t>Línea estratégica 1</w:t>
      </w:r>
      <w:r w:rsidRPr="000C5171">
        <w:rPr>
          <w:rFonts w:cs="Tahoma"/>
          <w:sz w:val="22"/>
          <w:szCs w:val="22"/>
        </w:rPr>
        <w:t xml:space="preserve">: Transformación Territorial para la vida, la paz total y el cierre de brechas. </w:t>
      </w:r>
    </w:p>
    <w:p w14:paraId="138367C7" w14:textId="77777777" w:rsidR="00DE3C06" w:rsidRPr="000C5171" w:rsidRDefault="00DE3C06">
      <w:pPr>
        <w:pStyle w:val="Prrafodelista"/>
        <w:numPr>
          <w:ilvl w:val="0"/>
          <w:numId w:val="22"/>
        </w:numPr>
        <w:spacing w:after="0" w:line="276" w:lineRule="auto"/>
        <w:ind w:left="709" w:hanging="283"/>
        <w:jc w:val="both"/>
        <w:rPr>
          <w:rFonts w:cs="Tahoma"/>
          <w:sz w:val="22"/>
          <w:szCs w:val="22"/>
        </w:rPr>
      </w:pPr>
      <w:r w:rsidRPr="000C5171">
        <w:rPr>
          <w:rFonts w:cs="Tahoma"/>
          <w:b/>
          <w:bCs/>
          <w:sz w:val="22"/>
          <w:szCs w:val="22"/>
        </w:rPr>
        <w:t>Línea estratégica 2</w:t>
      </w:r>
      <w:r w:rsidRPr="000C5171">
        <w:rPr>
          <w:rFonts w:cs="Tahoma"/>
          <w:sz w:val="22"/>
          <w:szCs w:val="22"/>
        </w:rPr>
        <w:t>: Sustitución de ingresos y reconversión productiva gradual en territorios con presencia de cultivos de coca, amapola y marihuana.</w:t>
      </w:r>
    </w:p>
    <w:p w14:paraId="3330E7EE" w14:textId="77777777" w:rsidR="00DE3C06" w:rsidRPr="000C5171" w:rsidRDefault="00DE3C06">
      <w:pPr>
        <w:pStyle w:val="Prrafodelista"/>
        <w:numPr>
          <w:ilvl w:val="0"/>
          <w:numId w:val="22"/>
        </w:numPr>
        <w:spacing w:after="0" w:line="276" w:lineRule="auto"/>
        <w:ind w:left="709" w:hanging="283"/>
        <w:jc w:val="both"/>
        <w:rPr>
          <w:rFonts w:cs="Tahoma"/>
          <w:sz w:val="22"/>
          <w:szCs w:val="22"/>
        </w:rPr>
      </w:pPr>
      <w:r w:rsidRPr="000C5171">
        <w:rPr>
          <w:rFonts w:cs="Tahoma"/>
          <w:b/>
          <w:bCs/>
          <w:sz w:val="22"/>
          <w:szCs w:val="22"/>
        </w:rPr>
        <w:t>Línea estratégica: 3</w:t>
      </w:r>
      <w:r w:rsidRPr="000C5171">
        <w:rPr>
          <w:rFonts w:cs="Tahoma"/>
          <w:sz w:val="22"/>
          <w:szCs w:val="22"/>
        </w:rPr>
        <w:t xml:space="preserve"> Participación Incidente y fortalecimiento comunitario.</w:t>
      </w:r>
    </w:p>
    <w:p w14:paraId="763E567F" w14:textId="77777777" w:rsidR="00DE3C06" w:rsidRPr="000C5171" w:rsidRDefault="00DE3C06">
      <w:pPr>
        <w:pStyle w:val="Prrafodelista"/>
        <w:numPr>
          <w:ilvl w:val="0"/>
          <w:numId w:val="22"/>
        </w:numPr>
        <w:spacing w:after="0" w:line="276" w:lineRule="auto"/>
        <w:ind w:left="709" w:hanging="283"/>
        <w:jc w:val="both"/>
        <w:rPr>
          <w:rFonts w:cs="Tahoma"/>
          <w:sz w:val="22"/>
          <w:szCs w:val="22"/>
        </w:rPr>
      </w:pPr>
      <w:r w:rsidRPr="000C5171">
        <w:rPr>
          <w:rFonts w:cs="Tahoma"/>
          <w:b/>
          <w:bCs/>
          <w:sz w:val="22"/>
          <w:szCs w:val="22"/>
        </w:rPr>
        <w:t>Línea estratégica 4.</w:t>
      </w:r>
      <w:r w:rsidRPr="000C5171">
        <w:rPr>
          <w:rFonts w:cs="Tahoma"/>
          <w:sz w:val="22"/>
          <w:szCs w:val="22"/>
        </w:rPr>
        <w:t xml:space="preserve"> Gestión del cambio encaminado a la territorialización del Talento Humano de la ART.</w:t>
      </w:r>
    </w:p>
    <w:p w14:paraId="50893973" w14:textId="77777777" w:rsidR="00DE3C06" w:rsidRPr="000C5171" w:rsidRDefault="00DE3C06" w:rsidP="00DE3C06">
      <w:pPr>
        <w:pStyle w:val="Prrafodelista"/>
        <w:spacing w:after="0" w:line="276" w:lineRule="auto"/>
        <w:ind w:left="284"/>
        <w:jc w:val="both"/>
        <w:rPr>
          <w:rFonts w:cs="Tahoma"/>
          <w:sz w:val="22"/>
          <w:szCs w:val="22"/>
        </w:rPr>
      </w:pPr>
    </w:p>
    <w:p w14:paraId="3B6DDF99" w14:textId="77777777" w:rsidR="00DE3C06" w:rsidRPr="000C5171" w:rsidRDefault="00DE3C06" w:rsidP="00DE3C06">
      <w:pPr>
        <w:spacing w:after="0" w:line="276" w:lineRule="auto"/>
        <w:jc w:val="center"/>
        <w:rPr>
          <w:rFonts w:cs="Tahoma"/>
          <w:b/>
          <w:bCs/>
          <w:sz w:val="22"/>
          <w:szCs w:val="22"/>
        </w:rPr>
      </w:pPr>
      <w:r w:rsidRPr="000C5171">
        <w:rPr>
          <w:rFonts w:cs="Tahoma"/>
          <w:b/>
          <w:bCs/>
          <w:sz w:val="22"/>
          <w:szCs w:val="22"/>
        </w:rPr>
        <w:t>INFORME DSCI - “J”:</w:t>
      </w:r>
    </w:p>
    <w:p w14:paraId="0127BCDD" w14:textId="77777777" w:rsidR="00DE3C06" w:rsidRPr="000C5171" w:rsidRDefault="00DE3C06" w:rsidP="00DE3C06">
      <w:pPr>
        <w:spacing w:after="0" w:line="276" w:lineRule="auto"/>
        <w:jc w:val="center"/>
        <w:rPr>
          <w:rFonts w:cs="Tahoma"/>
          <w:b/>
          <w:bCs/>
          <w:sz w:val="22"/>
          <w:szCs w:val="22"/>
        </w:rPr>
      </w:pPr>
    </w:p>
    <w:p w14:paraId="6C851A50" w14:textId="77777777" w:rsidR="00DE3C06" w:rsidRPr="000C5171" w:rsidRDefault="00DE3C06" w:rsidP="00DE3C06">
      <w:pPr>
        <w:spacing w:after="0" w:line="276" w:lineRule="auto"/>
        <w:jc w:val="both"/>
        <w:rPr>
          <w:rFonts w:cs="Tahoma"/>
          <w:sz w:val="22"/>
          <w:szCs w:val="22"/>
        </w:rPr>
      </w:pPr>
      <w:r w:rsidRPr="000C5171">
        <w:rPr>
          <w:rFonts w:cs="Tahoma"/>
          <w:sz w:val="22"/>
          <w:szCs w:val="22"/>
        </w:rPr>
        <w:t xml:space="preserve">De acuerdo a lo anterior,  en atención a las instrucciones de DNP y DAPRE respecto a la presentación de un (1) informe por entidad, y en relación con la </w:t>
      </w:r>
      <w:r w:rsidRPr="000C5171">
        <w:rPr>
          <w:rFonts w:cs="Tahoma"/>
          <w:b/>
          <w:bCs/>
          <w:i/>
          <w:iCs/>
          <w:sz w:val="22"/>
          <w:szCs w:val="22"/>
        </w:rPr>
        <w:t>Dependencia  Dirección de Sustitución de Cultivos de Uso Ilícito (DSCI) la cual funciona como una dependencia con autonomía administrativa y financiera amparada por el literal “J” (art.5  de la ley 489), la ART entrega un documento que responde al informe de empalme  elaborado y remitido por la Directora actual de la DSCUI</w:t>
      </w:r>
      <w:r w:rsidRPr="000C5171">
        <w:rPr>
          <w:rFonts w:cs="Tahoma"/>
          <w:sz w:val="22"/>
          <w:szCs w:val="22"/>
        </w:rPr>
        <w:t xml:space="preserve"> en cumplimiento de sus funciones misionales y la </w:t>
      </w:r>
      <w:r w:rsidRPr="000C5171">
        <w:rPr>
          <w:rFonts w:cs="Tahoma"/>
          <w:sz w:val="22"/>
          <w:szCs w:val="22"/>
        </w:rPr>
        <w:lastRenderedPageBreak/>
        <w:t>dirección  a cargo</w:t>
      </w:r>
      <w:r w:rsidRPr="000C5171">
        <w:rPr>
          <w:rStyle w:val="Refdenotaalpie"/>
          <w:rFonts w:cs="Tahoma"/>
          <w:sz w:val="22"/>
          <w:szCs w:val="22"/>
        </w:rPr>
        <w:footnoteReference w:id="6"/>
      </w:r>
      <w:r w:rsidRPr="000C5171">
        <w:rPr>
          <w:rFonts w:cs="Tahoma"/>
          <w:sz w:val="22"/>
          <w:szCs w:val="22"/>
        </w:rPr>
        <w:t xml:space="preserve"> y versa sobre las </w:t>
      </w:r>
      <w:r w:rsidRPr="000C5171">
        <w:rPr>
          <w:rFonts w:cs="Tahoma"/>
          <w:i/>
          <w:iCs/>
          <w:sz w:val="22"/>
          <w:szCs w:val="22"/>
        </w:rPr>
        <w:t>acciones de la DSCUI referidas al punto 4 del Acuerdo</w:t>
      </w:r>
      <w:r w:rsidRPr="000C5171">
        <w:rPr>
          <w:rFonts w:cs="Tahoma"/>
          <w:sz w:val="22"/>
          <w:szCs w:val="22"/>
        </w:rPr>
        <w:t xml:space="preserve"> de Paz y otras operaciones propias de la política de sustitución de cultivos de uso ilícito contempladas en el Plan de Desarrollo ¨Colombia Potencia Mundial de la Vida. El informe de la DSCUI corresponde a la línea estratégica 2 del Plan Estratégico de la ART.</w:t>
      </w:r>
    </w:p>
    <w:p w14:paraId="494F5976" w14:textId="77777777" w:rsidR="00DE3C06" w:rsidRPr="000C5171" w:rsidRDefault="00DE3C06" w:rsidP="00DE3C06">
      <w:pPr>
        <w:spacing w:after="0" w:line="276" w:lineRule="auto"/>
        <w:jc w:val="center"/>
        <w:rPr>
          <w:rFonts w:cs="Tahoma"/>
          <w:b/>
          <w:bCs/>
          <w:sz w:val="22"/>
          <w:szCs w:val="22"/>
        </w:rPr>
      </w:pPr>
    </w:p>
    <w:p w14:paraId="0427E68D" w14:textId="77777777" w:rsidR="00DE3C06" w:rsidRPr="000C5171" w:rsidRDefault="00DE3C06" w:rsidP="00DE3C06">
      <w:pPr>
        <w:spacing w:after="0" w:line="276" w:lineRule="auto"/>
        <w:jc w:val="center"/>
        <w:rPr>
          <w:rFonts w:cs="Tahoma"/>
          <w:b/>
          <w:bCs/>
          <w:sz w:val="22"/>
          <w:szCs w:val="22"/>
        </w:rPr>
      </w:pPr>
      <w:r w:rsidRPr="000C5171">
        <w:rPr>
          <w:rFonts w:cs="Tahoma"/>
          <w:b/>
          <w:bCs/>
          <w:sz w:val="22"/>
          <w:szCs w:val="22"/>
        </w:rPr>
        <w:t>INFORME ART PDET</w:t>
      </w:r>
    </w:p>
    <w:p w14:paraId="09C46B2B" w14:textId="77777777" w:rsidR="00DE3C06" w:rsidRPr="000C5171" w:rsidRDefault="00DE3C06" w:rsidP="00DE3C06">
      <w:pPr>
        <w:pStyle w:val="Prrafodelista"/>
        <w:spacing w:after="0" w:line="276" w:lineRule="auto"/>
        <w:ind w:left="284"/>
        <w:jc w:val="both"/>
        <w:rPr>
          <w:rFonts w:cs="Tahoma"/>
          <w:sz w:val="22"/>
          <w:szCs w:val="22"/>
        </w:rPr>
      </w:pPr>
    </w:p>
    <w:p w14:paraId="4F501016" w14:textId="77777777" w:rsidR="00DE3C06" w:rsidRPr="000C5171" w:rsidRDefault="00DE3C06" w:rsidP="00DE3C06">
      <w:pPr>
        <w:spacing w:after="0" w:line="276" w:lineRule="auto"/>
        <w:jc w:val="both"/>
        <w:rPr>
          <w:rFonts w:cs="Tahoma"/>
          <w:sz w:val="22"/>
          <w:szCs w:val="22"/>
        </w:rPr>
      </w:pPr>
      <w:r w:rsidRPr="000C5171">
        <w:rPr>
          <w:rFonts w:cs="Tahoma"/>
          <w:sz w:val="22"/>
          <w:szCs w:val="22"/>
        </w:rPr>
        <w:t xml:space="preserve">Por consiguiente, </w:t>
      </w:r>
      <w:r w:rsidRPr="000C5171">
        <w:rPr>
          <w:rFonts w:cs="Tahoma"/>
          <w:b/>
          <w:bCs/>
          <w:sz w:val="22"/>
          <w:szCs w:val="22"/>
        </w:rPr>
        <w:t>el PRESENTE DOCUMENTO DE INFORME sustancialmente está referido a las líneas 1, 3 y 4</w:t>
      </w:r>
      <w:r w:rsidRPr="000C5171">
        <w:rPr>
          <w:rFonts w:cs="Tahoma"/>
          <w:sz w:val="22"/>
          <w:szCs w:val="22"/>
        </w:rPr>
        <w:t xml:space="preserve"> del Plan Estratégico Institucional y concretamente a las acciones de competencia de la ART-PDET respecto al </w:t>
      </w:r>
      <w:r w:rsidRPr="000C5171">
        <w:rPr>
          <w:rFonts w:cs="Tahoma"/>
          <w:b/>
          <w:bCs/>
          <w:sz w:val="22"/>
          <w:szCs w:val="22"/>
        </w:rPr>
        <w:t>PUNTO 1.2 DEL ACUERDO DE PAZ</w:t>
      </w:r>
      <w:r w:rsidRPr="000C5171">
        <w:rPr>
          <w:rFonts w:cs="Tahoma"/>
          <w:sz w:val="22"/>
          <w:szCs w:val="22"/>
        </w:rPr>
        <w:t>, enfocado a presentar:</w:t>
      </w:r>
    </w:p>
    <w:p w14:paraId="4D85F010" w14:textId="77777777" w:rsidR="00DE3C06" w:rsidRPr="000C5171" w:rsidRDefault="00DE3C06" w:rsidP="00DE3C06">
      <w:pPr>
        <w:spacing w:after="0" w:line="276" w:lineRule="auto"/>
        <w:jc w:val="both"/>
        <w:rPr>
          <w:rFonts w:cs="Tahoma"/>
          <w:sz w:val="22"/>
          <w:szCs w:val="22"/>
        </w:rPr>
      </w:pPr>
    </w:p>
    <w:p w14:paraId="26576803" w14:textId="77777777" w:rsidR="00DE3C06" w:rsidRPr="000C5171" w:rsidRDefault="00DE3C06">
      <w:pPr>
        <w:pStyle w:val="Prrafodelista"/>
        <w:numPr>
          <w:ilvl w:val="0"/>
          <w:numId w:val="19"/>
        </w:numPr>
        <w:tabs>
          <w:tab w:val="left" w:pos="709"/>
        </w:tabs>
        <w:spacing w:line="276" w:lineRule="auto"/>
        <w:ind w:left="709" w:hanging="283"/>
        <w:jc w:val="both"/>
        <w:rPr>
          <w:rFonts w:cs="Tahoma"/>
          <w:sz w:val="22"/>
          <w:szCs w:val="22"/>
        </w:rPr>
      </w:pPr>
      <w:r w:rsidRPr="000C5171">
        <w:rPr>
          <w:rFonts w:cs="Tahoma"/>
          <w:i/>
          <w:iCs/>
          <w:sz w:val="22"/>
          <w:szCs w:val="22"/>
        </w:rPr>
        <w:t xml:space="preserve">Los avances y retos, a diez años del acuerdo de paz, en la </w:t>
      </w:r>
      <w:r w:rsidRPr="000C5171">
        <w:rPr>
          <w:rFonts w:cs="Tahoma"/>
          <w:b/>
          <w:bCs/>
          <w:i/>
          <w:iCs/>
          <w:sz w:val="22"/>
          <w:szCs w:val="22"/>
        </w:rPr>
        <w:t>IMPLEMENTACIÓN DE LOS PDET- PATR</w:t>
      </w:r>
      <w:r w:rsidRPr="000C5171">
        <w:rPr>
          <w:rFonts w:cs="Tahoma"/>
          <w:i/>
          <w:iCs/>
          <w:sz w:val="22"/>
          <w:szCs w:val="22"/>
        </w:rPr>
        <w:t xml:space="preserve"> y su contribución al logro de metas generales y sectoriales plasmadas en el Plan Nacional de Desarrollo del período 2022-2026</w:t>
      </w:r>
      <w:r w:rsidRPr="000C5171">
        <w:rPr>
          <w:rFonts w:cs="Tahoma"/>
          <w:sz w:val="22"/>
          <w:szCs w:val="22"/>
        </w:rPr>
        <w:t xml:space="preserve"> </w:t>
      </w:r>
      <w:r w:rsidRPr="000C5171">
        <w:rPr>
          <w:rFonts w:cs="Tahoma"/>
          <w:i/>
          <w:iCs/>
          <w:sz w:val="22"/>
          <w:szCs w:val="22"/>
        </w:rPr>
        <w:t>y de los indicadores del Plan Marco de implementación del Acuerdo de Paz</w:t>
      </w:r>
      <w:r w:rsidRPr="000C5171">
        <w:rPr>
          <w:rFonts w:cs="Tahoma"/>
          <w:sz w:val="22"/>
          <w:szCs w:val="22"/>
        </w:rPr>
        <w:t>.</w:t>
      </w:r>
    </w:p>
    <w:p w14:paraId="023DF889" w14:textId="77777777" w:rsidR="00DE3C06" w:rsidRPr="000C5171" w:rsidRDefault="00DE3C06" w:rsidP="00DE3C06">
      <w:pPr>
        <w:pStyle w:val="Prrafodelista"/>
        <w:tabs>
          <w:tab w:val="left" w:pos="709"/>
        </w:tabs>
        <w:spacing w:line="276" w:lineRule="auto"/>
        <w:ind w:left="851" w:hanging="425"/>
        <w:jc w:val="both"/>
        <w:rPr>
          <w:rFonts w:cs="Tahoma"/>
          <w:sz w:val="22"/>
          <w:szCs w:val="22"/>
        </w:rPr>
      </w:pPr>
    </w:p>
    <w:p w14:paraId="1E745126" w14:textId="77777777" w:rsidR="00DE3C06" w:rsidRPr="000C5171" w:rsidRDefault="00DE3C06">
      <w:pPr>
        <w:pStyle w:val="Prrafodelista"/>
        <w:numPr>
          <w:ilvl w:val="0"/>
          <w:numId w:val="19"/>
        </w:numPr>
        <w:tabs>
          <w:tab w:val="left" w:pos="709"/>
        </w:tabs>
        <w:spacing w:line="276" w:lineRule="auto"/>
        <w:ind w:left="709" w:hanging="283"/>
        <w:jc w:val="both"/>
        <w:rPr>
          <w:rFonts w:cs="Tahoma"/>
          <w:sz w:val="22"/>
          <w:szCs w:val="22"/>
        </w:rPr>
      </w:pPr>
      <w:r w:rsidRPr="000C5171">
        <w:rPr>
          <w:rFonts w:cs="Tahoma"/>
          <w:b/>
          <w:bCs/>
          <w:i/>
          <w:iCs/>
          <w:sz w:val="22"/>
          <w:szCs w:val="22"/>
        </w:rPr>
        <w:t>EL PROCESO DE REVISIÓN Y ACTUALIZACIÓN DE LOS PATR</w:t>
      </w:r>
      <w:r w:rsidRPr="000C5171">
        <w:rPr>
          <w:rFonts w:cs="Tahoma"/>
          <w:i/>
          <w:iCs/>
          <w:sz w:val="22"/>
          <w:szCs w:val="22"/>
        </w:rPr>
        <w:t xml:space="preserve"> que por mandato legal debió adelantarse en la actual administración de la ART</w:t>
      </w:r>
    </w:p>
    <w:p w14:paraId="6F59ED2E" w14:textId="77777777" w:rsidR="00DE3C06" w:rsidRPr="000C5171" w:rsidRDefault="00DE3C06" w:rsidP="00DE3C06">
      <w:pPr>
        <w:pStyle w:val="Prrafodelista"/>
        <w:spacing w:line="276" w:lineRule="auto"/>
        <w:rPr>
          <w:rFonts w:cs="Tahoma"/>
          <w:sz w:val="22"/>
          <w:szCs w:val="22"/>
        </w:rPr>
      </w:pPr>
    </w:p>
    <w:p w14:paraId="67ECEE67" w14:textId="77777777" w:rsidR="00DE3C06" w:rsidRPr="000C5171" w:rsidRDefault="00DE3C06" w:rsidP="00DE3C06">
      <w:pPr>
        <w:pStyle w:val="NormalWeb"/>
        <w:spacing w:after="0" w:afterAutospacing="0" w:line="276" w:lineRule="auto"/>
        <w:jc w:val="both"/>
        <w:rPr>
          <w:rFonts w:asciiTheme="minorHAnsi" w:hAnsiTheme="minorHAnsi" w:cs="Tahoma"/>
          <w:sz w:val="22"/>
          <w:szCs w:val="22"/>
        </w:rPr>
      </w:pPr>
      <w:r w:rsidRPr="000C5171">
        <w:rPr>
          <w:rFonts w:asciiTheme="minorHAnsi" w:hAnsiTheme="minorHAnsi" w:cs="Tahoma"/>
          <w:sz w:val="22"/>
          <w:szCs w:val="22"/>
        </w:rPr>
        <w:t xml:space="preserve">En su conjunto </w:t>
      </w:r>
      <w:r w:rsidRPr="000C5171">
        <w:rPr>
          <w:rFonts w:asciiTheme="minorHAnsi" w:hAnsiTheme="minorHAnsi" w:cs="Tahoma"/>
          <w:b/>
          <w:bCs/>
          <w:sz w:val="22"/>
          <w:szCs w:val="22"/>
        </w:rPr>
        <w:t>EL INFORME ART-PDET</w:t>
      </w:r>
      <w:r w:rsidRPr="000C5171">
        <w:rPr>
          <w:rFonts w:asciiTheme="minorHAnsi" w:hAnsiTheme="minorHAnsi" w:cs="Tahoma"/>
          <w:sz w:val="22"/>
          <w:szCs w:val="22"/>
        </w:rPr>
        <w:t xml:space="preserve"> responde al contenido estipulado en las Circulares Conjuntas 0008-4 y 0010-4 de 2026 emitidas por el DAPRE y DNP por medio de las cuales indican los lineamientos sobre el informe de empalme de la Rama ejecutiva de Orden Nacional 2026 y, en consecuencia, la ART desarrolla alrededor de los siguientes temas:</w:t>
      </w:r>
    </w:p>
    <w:p w14:paraId="0782C674" w14:textId="77777777" w:rsidR="00DE3C06" w:rsidRPr="000C5171" w:rsidRDefault="00DE3C06">
      <w:pPr>
        <w:pStyle w:val="NormalWeb"/>
        <w:numPr>
          <w:ilvl w:val="0"/>
          <w:numId w:val="24"/>
        </w:numPr>
        <w:spacing w:line="276" w:lineRule="auto"/>
        <w:jc w:val="both"/>
        <w:rPr>
          <w:rFonts w:asciiTheme="minorHAnsi" w:eastAsia="Arial" w:hAnsiTheme="minorHAnsi" w:cs="Tahoma"/>
          <w:sz w:val="22"/>
          <w:szCs w:val="22"/>
        </w:rPr>
      </w:pPr>
      <w:r w:rsidRPr="000C5171">
        <w:rPr>
          <w:rFonts w:asciiTheme="minorHAnsi" w:eastAsia="Arial" w:hAnsiTheme="minorHAnsi" w:cs="Tahoma"/>
          <w:b/>
          <w:bCs/>
          <w:sz w:val="22"/>
          <w:szCs w:val="22"/>
        </w:rPr>
        <w:t>Sector Administrativo y Normatividad:</w:t>
      </w:r>
      <w:r w:rsidRPr="000C5171">
        <w:rPr>
          <w:rFonts w:asciiTheme="minorHAnsi" w:eastAsia="Arial" w:hAnsiTheme="minorHAnsi" w:cs="Tahoma"/>
          <w:sz w:val="22"/>
          <w:szCs w:val="22"/>
        </w:rPr>
        <w:t xml:space="preserve"> Define la estructura interna de la ART como entidad líder en la renovación del territorio y detalla el marco legal que sustenta su operación.</w:t>
      </w:r>
    </w:p>
    <w:p w14:paraId="3F040C3C" w14:textId="77777777" w:rsidR="00DE3C06" w:rsidRPr="000C5171" w:rsidRDefault="00DE3C06">
      <w:pPr>
        <w:pStyle w:val="Prrafodelista"/>
        <w:numPr>
          <w:ilvl w:val="0"/>
          <w:numId w:val="24"/>
        </w:numPr>
        <w:spacing w:after="0" w:line="276" w:lineRule="auto"/>
        <w:jc w:val="both"/>
        <w:rPr>
          <w:rFonts w:eastAsia="Arial" w:cs="Tahoma"/>
          <w:sz w:val="22"/>
          <w:szCs w:val="22"/>
        </w:rPr>
      </w:pPr>
      <w:r w:rsidRPr="000C5171">
        <w:rPr>
          <w:rFonts w:eastAsia="Arial" w:cs="Tahoma"/>
          <w:b/>
          <w:bCs/>
          <w:sz w:val="22"/>
          <w:szCs w:val="22"/>
        </w:rPr>
        <w:t xml:space="preserve"> Gestión de Calidad y Procesos:</w:t>
      </w:r>
      <w:r w:rsidRPr="000C5171">
        <w:rPr>
          <w:rFonts w:eastAsia="Arial" w:cs="Tahoma"/>
          <w:sz w:val="22"/>
          <w:szCs w:val="22"/>
        </w:rPr>
        <w:t xml:space="preserve"> Describe el sistema SIGART y el modelo de operación que articula 13 procesos institucionales para asegurar la transparencia en la gestión de documentos oficiales.</w:t>
      </w:r>
    </w:p>
    <w:p w14:paraId="19562733" w14:textId="77777777" w:rsidR="00DE3C06" w:rsidRPr="000C5171" w:rsidRDefault="00DE3C06">
      <w:pPr>
        <w:pStyle w:val="Prrafodelista"/>
        <w:numPr>
          <w:ilvl w:val="0"/>
          <w:numId w:val="24"/>
        </w:numPr>
        <w:spacing w:after="0" w:line="276" w:lineRule="auto"/>
        <w:jc w:val="both"/>
        <w:rPr>
          <w:rFonts w:eastAsia="Arial" w:cs="Tahoma"/>
          <w:sz w:val="22"/>
          <w:szCs w:val="22"/>
        </w:rPr>
      </w:pPr>
      <w:r w:rsidRPr="000C5171">
        <w:rPr>
          <w:rFonts w:eastAsia="Arial" w:cs="Tahoma"/>
          <w:sz w:val="22"/>
          <w:szCs w:val="22"/>
        </w:rPr>
        <w:lastRenderedPageBreak/>
        <w:t>I</w:t>
      </w:r>
      <w:r w:rsidRPr="000C5171">
        <w:rPr>
          <w:rFonts w:eastAsia="Arial" w:cs="Tahoma"/>
          <w:b/>
          <w:bCs/>
          <w:sz w:val="22"/>
          <w:szCs w:val="22"/>
        </w:rPr>
        <w:t>nforme del Despacho (Situación General):</w:t>
      </w:r>
      <w:r w:rsidRPr="000C5171">
        <w:rPr>
          <w:rFonts w:eastAsia="Arial" w:cs="Tahoma"/>
          <w:sz w:val="22"/>
          <w:szCs w:val="22"/>
        </w:rPr>
        <w:t xml:space="preserve"> Presenta los avances y retos en la implementación de los PDET-PATR, el proceso y resultados de la revisión y actualización de los PATR y la ampliación de la vigencia de los PDET hasta el año 2037.</w:t>
      </w:r>
    </w:p>
    <w:p w14:paraId="192A9B5C" w14:textId="77777777" w:rsidR="00DE3C06" w:rsidRPr="000C5171" w:rsidRDefault="00DE3C06">
      <w:pPr>
        <w:pStyle w:val="Prrafodelista"/>
        <w:numPr>
          <w:ilvl w:val="0"/>
          <w:numId w:val="24"/>
        </w:numPr>
        <w:spacing w:after="0" w:line="276" w:lineRule="auto"/>
        <w:jc w:val="both"/>
        <w:rPr>
          <w:rFonts w:eastAsia="Arial" w:cs="Tahoma"/>
          <w:sz w:val="22"/>
          <w:szCs w:val="22"/>
        </w:rPr>
      </w:pPr>
      <w:r w:rsidRPr="000C5171">
        <w:rPr>
          <w:rFonts w:eastAsia="Arial" w:cs="Tahoma"/>
          <w:b/>
          <w:bCs/>
          <w:sz w:val="22"/>
          <w:szCs w:val="22"/>
        </w:rPr>
        <w:t>Plan Nacional de Desarrollo y Proceso de Paz:</w:t>
      </w:r>
      <w:r w:rsidRPr="000C5171">
        <w:rPr>
          <w:rFonts w:eastAsia="Arial" w:cs="Tahoma"/>
          <w:sz w:val="22"/>
          <w:szCs w:val="22"/>
        </w:rPr>
        <w:t xml:space="preserve"> Evalúa el cumplimiento de los indicadores del Plan Marco de Implementación (PMI) y la articulación de la entidad con las metas de paz del gobierno.</w:t>
      </w:r>
    </w:p>
    <w:p w14:paraId="1296C502" w14:textId="77777777" w:rsidR="00DE3C06" w:rsidRPr="000C5171" w:rsidRDefault="00DE3C06">
      <w:pPr>
        <w:pStyle w:val="Prrafodelista"/>
        <w:numPr>
          <w:ilvl w:val="0"/>
          <w:numId w:val="24"/>
        </w:numPr>
        <w:spacing w:after="0" w:line="276" w:lineRule="auto"/>
        <w:jc w:val="both"/>
        <w:rPr>
          <w:rFonts w:eastAsia="Arial" w:cs="Tahoma"/>
          <w:sz w:val="22"/>
          <w:szCs w:val="22"/>
        </w:rPr>
      </w:pPr>
      <w:r w:rsidRPr="000C5171">
        <w:rPr>
          <w:rFonts w:eastAsia="Arial" w:cs="Tahoma"/>
          <w:b/>
          <w:bCs/>
          <w:sz w:val="22"/>
          <w:szCs w:val="22"/>
        </w:rPr>
        <w:t>Ejecución Presupuestal y Talento Humano:</w:t>
      </w:r>
      <w:r w:rsidRPr="000C5171">
        <w:rPr>
          <w:rFonts w:eastAsia="Arial" w:cs="Tahoma"/>
          <w:sz w:val="22"/>
          <w:szCs w:val="22"/>
        </w:rPr>
        <w:t xml:space="preserve"> Detalla el manejo de los recursos, incluyendo vigencias futuras, reservas presupuestales y la situación de la contratación de personal en la entidad. Así mismo, se incluye la gestión de la ART frente a los recursos por la Subcuenta PDET del Fondo Colombia en Paz.</w:t>
      </w:r>
    </w:p>
    <w:p w14:paraId="3D109420" w14:textId="77777777" w:rsidR="00DE3C06" w:rsidRPr="000C5171" w:rsidRDefault="00DE3C06">
      <w:pPr>
        <w:pStyle w:val="Prrafodelista"/>
        <w:numPr>
          <w:ilvl w:val="0"/>
          <w:numId w:val="24"/>
        </w:numPr>
        <w:spacing w:after="0" w:line="276" w:lineRule="auto"/>
        <w:jc w:val="both"/>
        <w:rPr>
          <w:rFonts w:eastAsia="Arial" w:cs="Tahoma"/>
          <w:sz w:val="22"/>
          <w:szCs w:val="22"/>
        </w:rPr>
      </w:pPr>
      <w:r w:rsidRPr="000C5171">
        <w:rPr>
          <w:rFonts w:eastAsia="Arial" w:cs="Tahoma"/>
          <w:b/>
          <w:bCs/>
          <w:sz w:val="22"/>
          <w:szCs w:val="22"/>
        </w:rPr>
        <w:t>Gestión de Proyectos y Obras Públicas:</w:t>
      </w:r>
      <w:r w:rsidRPr="000C5171">
        <w:rPr>
          <w:rFonts w:eastAsia="Arial" w:cs="Tahoma"/>
          <w:sz w:val="22"/>
          <w:szCs w:val="22"/>
        </w:rPr>
        <w:t xml:space="preserve"> Informa sobre el estado de los proyectos de inversión, convenios y obras en ejecución, diferenciando entre los terminados y aquellos aún en proceso.</w:t>
      </w:r>
    </w:p>
    <w:p w14:paraId="400F6485" w14:textId="77777777" w:rsidR="00DE3C06" w:rsidRPr="000C5171" w:rsidRDefault="00DE3C06">
      <w:pPr>
        <w:pStyle w:val="Prrafodelista"/>
        <w:numPr>
          <w:ilvl w:val="0"/>
          <w:numId w:val="24"/>
        </w:numPr>
        <w:spacing w:after="0" w:line="276" w:lineRule="auto"/>
        <w:jc w:val="both"/>
        <w:rPr>
          <w:rFonts w:eastAsia="Arial" w:cs="Tahoma"/>
          <w:sz w:val="22"/>
          <w:szCs w:val="22"/>
        </w:rPr>
      </w:pPr>
      <w:r w:rsidRPr="000C5171">
        <w:rPr>
          <w:rFonts w:eastAsia="Arial" w:cs="Tahoma"/>
          <w:b/>
          <w:bCs/>
          <w:sz w:val="22"/>
          <w:szCs w:val="22"/>
        </w:rPr>
        <w:t>Gobernanza e Instancias de Participación:</w:t>
      </w:r>
      <w:r w:rsidRPr="000C5171">
        <w:rPr>
          <w:rFonts w:eastAsia="Arial" w:cs="Tahoma"/>
          <w:sz w:val="22"/>
          <w:szCs w:val="22"/>
        </w:rPr>
        <w:t xml:space="preserve"> Describe los comités técnicos y mesas de trabajo nacionales e internacionales donde la ART coordina acciones con otros sectores del Estado. Así mismo, las instancias de relacionamiento étnico y comunitario.</w:t>
      </w:r>
    </w:p>
    <w:p w14:paraId="29901471" w14:textId="77777777" w:rsidR="00DE3C06" w:rsidRPr="000C5171" w:rsidRDefault="00DE3C06">
      <w:pPr>
        <w:pStyle w:val="Prrafodelista"/>
        <w:numPr>
          <w:ilvl w:val="0"/>
          <w:numId w:val="24"/>
        </w:numPr>
        <w:spacing w:after="0" w:line="276" w:lineRule="auto"/>
        <w:jc w:val="both"/>
        <w:rPr>
          <w:rFonts w:eastAsia="Arial" w:cs="Tahoma"/>
          <w:sz w:val="22"/>
          <w:szCs w:val="22"/>
        </w:rPr>
      </w:pPr>
      <w:r w:rsidRPr="000C5171">
        <w:rPr>
          <w:rFonts w:eastAsia="Arial" w:cs="Tahoma"/>
          <w:b/>
          <w:bCs/>
          <w:sz w:val="22"/>
          <w:szCs w:val="22"/>
        </w:rPr>
        <w:t>Asuntos Jurídicos, Control Disciplinario y Control Interno:</w:t>
      </w:r>
      <w:r w:rsidRPr="000C5171">
        <w:rPr>
          <w:rFonts w:eastAsia="Arial" w:cs="Tahoma"/>
          <w:sz w:val="22"/>
          <w:szCs w:val="22"/>
        </w:rPr>
        <w:t xml:space="preserve"> Presenta el balance de las acciones judiciales activas, el estado de procesos disciplinarios y el estado del sistema del Control Interno para mitigar riesgos institucionales.</w:t>
      </w:r>
    </w:p>
    <w:p w14:paraId="176CE987" w14:textId="77777777" w:rsidR="00DE3C06" w:rsidRPr="000C5171" w:rsidRDefault="00DE3C06">
      <w:pPr>
        <w:pStyle w:val="Prrafodelista"/>
        <w:numPr>
          <w:ilvl w:val="0"/>
          <w:numId w:val="24"/>
        </w:numPr>
        <w:spacing w:after="0" w:line="276" w:lineRule="auto"/>
        <w:jc w:val="both"/>
        <w:rPr>
          <w:rFonts w:eastAsia="Arial" w:cs="Tahoma"/>
          <w:sz w:val="22"/>
          <w:szCs w:val="22"/>
        </w:rPr>
      </w:pPr>
      <w:r w:rsidRPr="000C5171">
        <w:rPr>
          <w:rFonts w:eastAsia="Arial" w:cs="Tahoma"/>
          <w:b/>
          <w:bCs/>
          <w:sz w:val="22"/>
          <w:szCs w:val="22"/>
        </w:rPr>
        <w:t xml:space="preserve">Temas Prioritarios: </w:t>
      </w:r>
      <w:r w:rsidRPr="000C5171">
        <w:rPr>
          <w:rFonts w:eastAsia="Arial" w:cs="Tahoma"/>
          <w:sz w:val="22"/>
          <w:szCs w:val="22"/>
        </w:rPr>
        <w:t>Informa frente a los temas técnicos de relevancia y aquellos de especial atención Técnica, Administrativa, Jurídica, Contractual y Financiera ART.</w:t>
      </w:r>
    </w:p>
    <w:p w14:paraId="4847958B" w14:textId="77777777" w:rsidR="00DE3C06" w:rsidRPr="000C5171" w:rsidRDefault="00DE3C06">
      <w:pPr>
        <w:pStyle w:val="Prrafodelista"/>
        <w:numPr>
          <w:ilvl w:val="0"/>
          <w:numId w:val="24"/>
        </w:numPr>
        <w:spacing w:after="0" w:line="276" w:lineRule="auto"/>
        <w:jc w:val="both"/>
        <w:rPr>
          <w:rFonts w:eastAsia="Arial" w:cs="Tahoma"/>
          <w:color w:val="000000" w:themeColor="text1"/>
          <w:sz w:val="22"/>
          <w:szCs w:val="22"/>
        </w:rPr>
      </w:pPr>
      <w:r w:rsidRPr="000C5171">
        <w:rPr>
          <w:rFonts w:eastAsia="Arial" w:cs="Tahoma"/>
          <w:b/>
          <w:bCs/>
          <w:sz w:val="22"/>
          <w:szCs w:val="22"/>
        </w:rPr>
        <w:t>Sistemas de Información y Bases de Datos:</w:t>
      </w:r>
      <w:r w:rsidRPr="000C5171">
        <w:rPr>
          <w:rFonts w:eastAsia="Arial" w:cs="Tahoma"/>
          <w:sz w:val="22"/>
          <w:szCs w:val="22"/>
        </w:rPr>
        <w:t xml:space="preserve"> Presenta los sistemas de Información institucional vigentes y explica el funcionamiento de la Central PDET y el Banco de Proyectos para la captura, análisis de datos en tiempo real sobre el territorio y el tránsito que implica la implementación de los PATR revisados y actualizados.                           </w:t>
      </w:r>
    </w:p>
    <w:p w14:paraId="7D40C37E" w14:textId="77777777" w:rsidR="00DE3C06" w:rsidRPr="000C5171" w:rsidRDefault="00DE3C06" w:rsidP="00DE3C06">
      <w:pPr>
        <w:pStyle w:val="NormalWeb"/>
        <w:spacing w:after="0" w:afterAutospacing="0" w:line="276" w:lineRule="auto"/>
        <w:jc w:val="both"/>
        <w:rPr>
          <w:rFonts w:asciiTheme="minorHAnsi" w:hAnsiTheme="minorHAnsi" w:cs="Tahoma"/>
          <w:sz w:val="22"/>
          <w:szCs w:val="22"/>
        </w:rPr>
      </w:pPr>
      <w:r w:rsidRPr="000C5171">
        <w:rPr>
          <w:rFonts w:asciiTheme="minorHAnsi" w:hAnsiTheme="minorHAnsi" w:cs="Tahoma"/>
          <w:sz w:val="22"/>
          <w:szCs w:val="22"/>
        </w:rPr>
        <w:t>Adicional, la ART consideró importante incluir algunos textos y numerales de segundo y tercer nivel complementarios a los indicados en el contenido requerido para este informe, en los cuales se tratan temas de relevancia a fin de ampliar información que permita al gobierno entrante conocer la operación de la entidad y facilitar la toma de decisiones respecto al cumplimiento de su misión, como:</w:t>
      </w:r>
    </w:p>
    <w:p w14:paraId="3898BC59" w14:textId="77777777" w:rsidR="00DE3C06" w:rsidRPr="000C5171" w:rsidRDefault="00DE3C06" w:rsidP="00DE3C06">
      <w:pPr>
        <w:pStyle w:val="NormalWeb"/>
        <w:spacing w:before="0" w:beforeAutospacing="0" w:after="0" w:afterAutospacing="0" w:line="276" w:lineRule="auto"/>
        <w:jc w:val="both"/>
        <w:rPr>
          <w:rFonts w:asciiTheme="minorHAnsi" w:hAnsiTheme="minorHAnsi" w:cs="Tahoma"/>
          <w:sz w:val="22"/>
          <w:szCs w:val="22"/>
        </w:rPr>
      </w:pPr>
    </w:p>
    <w:p w14:paraId="567E7AAC" w14:textId="77777777" w:rsidR="00DE3C06" w:rsidRPr="000C5171" w:rsidRDefault="00DE3C06">
      <w:pPr>
        <w:pStyle w:val="Prrafodelista"/>
        <w:numPr>
          <w:ilvl w:val="0"/>
          <w:numId w:val="25"/>
        </w:numPr>
        <w:spacing w:after="0" w:line="276" w:lineRule="auto"/>
        <w:rPr>
          <w:rFonts w:cs="Tahoma"/>
          <w:sz w:val="22"/>
          <w:szCs w:val="22"/>
          <w:lang w:eastAsia="es-CO"/>
        </w:rPr>
      </w:pPr>
      <w:r w:rsidRPr="000C5171">
        <w:rPr>
          <w:rFonts w:cs="Tahoma"/>
          <w:sz w:val="22"/>
          <w:szCs w:val="22"/>
          <w:lang w:eastAsia="es-CO"/>
        </w:rPr>
        <w:t>Problemas estructurales PATR</w:t>
      </w:r>
    </w:p>
    <w:p w14:paraId="4D34F83E" w14:textId="77777777" w:rsidR="00DE3C06" w:rsidRPr="000C5171" w:rsidRDefault="00DE3C06">
      <w:pPr>
        <w:pStyle w:val="Prrafodelista"/>
        <w:numPr>
          <w:ilvl w:val="0"/>
          <w:numId w:val="25"/>
        </w:numPr>
        <w:spacing w:line="276" w:lineRule="auto"/>
        <w:rPr>
          <w:rFonts w:cs="Tahoma"/>
          <w:sz w:val="22"/>
          <w:szCs w:val="22"/>
          <w:lang w:eastAsia="es-CO"/>
        </w:rPr>
      </w:pPr>
      <w:r w:rsidRPr="000C5171">
        <w:rPr>
          <w:rFonts w:cs="Tahoma"/>
          <w:sz w:val="22"/>
          <w:szCs w:val="22"/>
          <w:lang w:eastAsia="es-CO"/>
        </w:rPr>
        <w:t>Avances y retos en el proceso de implementación de los PATR</w:t>
      </w:r>
    </w:p>
    <w:p w14:paraId="0424419D" w14:textId="77777777" w:rsidR="00DE3C06" w:rsidRPr="000C5171" w:rsidRDefault="00DE3C06">
      <w:pPr>
        <w:pStyle w:val="Prrafodelista"/>
        <w:numPr>
          <w:ilvl w:val="0"/>
          <w:numId w:val="25"/>
        </w:numPr>
        <w:spacing w:line="276" w:lineRule="auto"/>
        <w:rPr>
          <w:rFonts w:cs="Tahoma"/>
          <w:sz w:val="22"/>
          <w:szCs w:val="22"/>
          <w:lang w:eastAsia="es-CO"/>
        </w:rPr>
      </w:pPr>
      <w:r w:rsidRPr="000C5171">
        <w:rPr>
          <w:rFonts w:cs="Tahoma"/>
          <w:sz w:val="22"/>
          <w:szCs w:val="22"/>
          <w:lang w:eastAsia="es-CO"/>
        </w:rPr>
        <w:t>Estado del proceso de revisión y actualización de los PATR</w:t>
      </w:r>
    </w:p>
    <w:p w14:paraId="7DF5C467" w14:textId="77777777" w:rsidR="00DE3C06" w:rsidRPr="000C5171" w:rsidRDefault="00DE3C06">
      <w:pPr>
        <w:pStyle w:val="Prrafodelista"/>
        <w:numPr>
          <w:ilvl w:val="0"/>
          <w:numId w:val="25"/>
        </w:numPr>
        <w:spacing w:after="0" w:line="276" w:lineRule="auto"/>
        <w:rPr>
          <w:rFonts w:cs="Tahoma"/>
          <w:sz w:val="22"/>
          <w:szCs w:val="22"/>
          <w:lang w:eastAsia="es-CO"/>
        </w:rPr>
      </w:pPr>
      <w:r w:rsidRPr="000C5171">
        <w:rPr>
          <w:rFonts w:cs="Tahoma"/>
          <w:sz w:val="22"/>
          <w:szCs w:val="22"/>
          <w:lang w:eastAsia="es-CO"/>
        </w:rPr>
        <w:t>Situación de recursos Subcuenta Fondo Colombia en Paz (PDET-FCP)</w:t>
      </w:r>
    </w:p>
    <w:p w14:paraId="587C8F3D" w14:textId="77777777" w:rsidR="00DE3C06" w:rsidRPr="000C5171" w:rsidRDefault="00DE3C06">
      <w:pPr>
        <w:pStyle w:val="Prrafodelista"/>
        <w:numPr>
          <w:ilvl w:val="0"/>
          <w:numId w:val="25"/>
        </w:numPr>
        <w:spacing w:after="0" w:line="276" w:lineRule="auto"/>
        <w:rPr>
          <w:rFonts w:cs="Tahoma"/>
          <w:sz w:val="22"/>
          <w:szCs w:val="22"/>
          <w:lang w:eastAsia="es-CO"/>
        </w:rPr>
      </w:pPr>
      <w:r w:rsidRPr="000C5171">
        <w:rPr>
          <w:rFonts w:cs="Tahoma"/>
          <w:sz w:val="22"/>
          <w:szCs w:val="22"/>
          <w:lang w:eastAsia="es-CO"/>
        </w:rPr>
        <w:t>Otros Temas prioritarios de nivel estratégico.</w:t>
      </w:r>
    </w:p>
    <w:p w14:paraId="3D8FFFB0" w14:textId="77777777" w:rsidR="00DE3C06" w:rsidRPr="000C5171" w:rsidRDefault="00DE3C06" w:rsidP="00DE3C06">
      <w:pPr>
        <w:spacing w:after="0" w:line="276" w:lineRule="auto"/>
        <w:jc w:val="center"/>
        <w:rPr>
          <w:rFonts w:cs="Tahoma"/>
          <w:b/>
          <w:bCs/>
          <w:sz w:val="22"/>
          <w:szCs w:val="22"/>
        </w:rPr>
      </w:pPr>
    </w:p>
    <w:p w14:paraId="5850C553" w14:textId="77777777" w:rsidR="00DE3C06" w:rsidRPr="000C5171" w:rsidRDefault="00DE3C06" w:rsidP="00DE3C06">
      <w:pPr>
        <w:spacing w:after="0" w:line="276" w:lineRule="auto"/>
        <w:jc w:val="center"/>
        <w:rPr>
          <w:rFonts w:cs="Tahoma"/>
          <w:b/>
          <w:bCs/>
          <w:sz w:val="22"/>
          <w:szCs w:val="22"/>
        </w:rPr>
      </w:pPr>
    </w:p>
    <w:p w14:paraId="2DAED872" w14:textId="77777777" w:rsidR="00DE3C06" w:rsidRPr="000C5171" w:rsidRDefault="00DE3C06">
      <w:pPr>
        <w:pStyle w:val="Ttulo1"/>
        <w:numPr>
          <w:ilvl w:val="0"/>
          <w:numId w:val="2"/>
        </w:numPr>
        <w:spacing w:line="276" w:lineRule="auto"/>
        <w:ind w:left="0" w:firstLine="0"/>
        <w:rPr>
          <w:rFonts w:cs="Tahoma"/>
        </w:rPr>
      </w:pPr>
      <w:bookmarkStart w:id="3" w:name="_Toc234168074"/>
      <w:r w:rsidRPr="000C5171">
        <w:rPr>
          <w:rFonts w:cs="Tahoma"/>
        </w:rPr>
        <w:t>SECTOR ADMINISTRATIVO Y ESTRUCTURA DE LA ENTIDAD</w:t>
      </w:r>
      <w:bookmarkEnd w:id="3"/>
      <w:r w:rsidRPr="000C5171">
        <w:rPr>
          <w:rFonts w:cs="Tahoma"/>
        </w:rPr>
        <w:t xml:space="preserve">  </w:t>
      </w:r>
    </w:p>
    <w:p w14:paraId="27B25858" w14:textId="77777777" w:rsidR="00DE3C06" w:rsidRPr="000C5171" w:rsidRDefault="00DE3C06" w:rsidP="00DE3C06">
      <w:pPr>
        <w:spacing w:line="276" w:lineRule="auto"/>
        <w:jc w:val="both"/>
        <w:rPr>
          <w:rFonts w:cs="Tahoma"/>
          <w:sz w:val="22"/>
          <w:szCs w:val="22"/>
        </w:rPr>
      </w:pPr>
      <w:bookmarkStart w:id="4" w:name="_Hlk231459358"/>
      <w:r w:rsidRPr="000C5171">
        <w:rPr>
          <w:rFonts w:cs="Tahoma"/>
          <w:sz w:val="22"/>
          <w:szCs w:val="22"/>
        </w:rPr>
        <w:t>La ART es una entidad adscrita al sector de la Presidencia de la República, cuya cabeza es el Departamento Administrativo de la Presidencia de la República (DAPRE), en los términos establecidos en su acto de creación, desde donde se orientan, coordinan y articulan las políticas, planes y acciones dirigidas a la transformación integral de los territorios priorizados, en especial aquellos afectados por el conflicto armado y la pobreza rural.</w:t>
      </w:r>
    </w:p>
    <w:p w14:paraId="7FF3F404" w14:textId="77777777" w:rsidR="00DE3C06" w:rsidRPr="000C5171" w:rsidRDefault="00DE3C06" w:rsidP="00DE3C06">
      <w:pPr>
        <w:spacing w:line="276" w:lineRule="auto"/>
        <w:jc w:val="both"/>
        <w:rPr>
          <w:rFonts w:cs="Tahoma"/>
          <w:sz w:val="22"/>
          <w:szCs w:val="22"/>
        </w:rPr>
      </w:pPr>
    </w:p>
    <w:bookmarkEnd w:id="4"/>
    <w:p w14:paraId="4CE54BAB" w14:textId="77777777" w:rsidR="00DE3C06" w:rsidRPr="000C5171" w:rsidRDefault="00DE3C06" w:rsidP="00DE3C06">
      <w:pPr>
        <w:spacing w:line="276" w:lineRule="auto"/>
        <w:jc w:val="center"/>
        <w:rPr>
          <w:rFonts w:cs="Tahoma"/>
          <w:b/>
          <w:bCs/>
          <w:sz w:val="22"/>
          <w:szCs w:val="22"/>
        </w:rPr>
      </w:pPr>
      <w:r w:rsidRPr="000C5171">
        <w:rPr>
          <w:rFonts w:cs="Tahoma"/>
          <w:sz w:val="22"/>
          <w:szCs w:val="22"/>
        </w:rPr>
        <w:t>Gráfica 1. Organigrama Entidad</w:t>
      </w:r>
    </w:p>
    <w:p w14:paraId="1394AFAC" w14:textId="77777777" w:rsidR="00DE3C06" w:rsidRPr="000C5171" w:rsidRDefault="00DE3C06" w:rsidP="00DE3C06">
      <w:pPr>
        <w:spacing w:after="0" w:line="276" w:lineRule="auto"/>
        <w:jc w:val="center"/>
        <w:rPr>
          <w:rFonts w:eastAsia="Arial" w:cs="Tahoma"/>
          <w:sz w:val="22"/>
          <w:szCs w:val="22"/>
        </w:rPr>
      </w:pPr>
      <w:r w:rsidRPr="000C5171">
        <w:rPr>
          <w:rFonts w:cs="Tahoma"/>
          <w:noProof/>
          <w:sz w:val="22"/>
          <w:szCs w:val="22"/>
          <w:lang w:eastAsia="es-CO"/>
        </w:rPr>
        <w:drawing>
          <wp:inline distT="0" distB="0" distL="0" distR="0" wp14:anchorId="45D160F5" wp14:editId="0C8167DB">
            <wp:extent cx="4347957" cy="3276600"/>
            <wp:effectExtent l="0" t="0" r="0" b="0"/>
            <wp:docPr id="648331310" name="Imagen 648331310" descr="Organigrama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rganigrama ART"/>
                    <pic:cNvPicPr>
                      <a:picLocks noChangeAspect="1" noChangeArrowheads="1"/>
                    </pic:cNvPicPr>
                  </pic:nvPicPr>
                  <pic:blipFill rotWithShape="1">
                    <a:blip r:embed="rId8" cstate="print">
                      <a:extLst>
                        <a:ext uri="{BEBA8EAE-BF5A-486C-A8C5-ECC9F3942E4B}">
                          <a14:imgProps xmlns:a14="http://schemas.microsoft.com/office/drawing/2010/main">
                            <a14:imgLayer r:embed="rId9">
                              <a14:imgEffect>
                                <a14:sharpenSoften amount="50000"/>
                              </a14:imgEffect>
                            </a14:imgLayer>
                          </a14:imgProps>
                        </a:ext>
                        <a:ext uri="{28A0092B-C50C-407E-A947-70E740481C1C}">
                          <a14:useLocalDpi xmlns:a14="http://schemas.microsoft.com/office/drawing/2010/main" val="0"/>
                        </a:ext>
                      </a:extLst>
                    </a:blip>
                    <a:srcRect t="1365" b="2020"/>
                    <a:stretch/>
                  </pic:blipFill>
                  <pic:spPr bwMode="auto">
                    <a:xfrm>
                      <a:off x="0" y="0"/>
                      <a:ext cx="4524912" cy="3409952"/>
                    </a:xfrm>
                    <a:prstGeom prst="rect">
                      <a:avLst/>
                    </a:prstGeom>
                    <a:noFill/>
                    <a:ln>
                      <a:noFill/>
                    </a:ln>
                    <a:extLst>
                      <a:ext uri="{53640926-AAD7-44D8-BBD7-CCE9431645EC}">
                        <a14:shadowObscured xmlns:a14="http://schemas.microsoft.com/office/drawing/2010/main"/>
                      </a:ext>
                    </a:extLst>
                  </pic:spPr>
                </pic:pic>
              </a:graphicData>
            </a:graphic>
          </wp:inline>
        </w:drawing>
      </w:r>
    </w:p>
    <w:p w14:paraId="4A241713" w14:textId="77777777" w:rsidR="00DE3C06" w:rsidRPr="000C5171" w:rsidRDefault="00DE3C06" w:rsidP="00DE3C06">
      <w:pPr>
        <w:spacing w:after="0" w:line="276" w:lineRule="auto"/>
        <w:jc w:val="both"/>
        <w:rPr>
          <w:rFonts w:eastAsia="Arial" w:cs="Tahoma"/>
          <w:sz w:val="22"/>
          <w:szCs w:val="22"/>
        </w:rPr>
      </w:pPr>
      <w:bookmarkStart w:id="5" w:name="_Hlk231459422"/>
      <w:r w:rsidRPr="000C5171">
        <w:rPr>
          <w:rFonts w:eastAsia="Arial" w:cs="Tahoma"/>
          <w:sz w:val="22"/>
          <w:szCs w:val="22"/>
        </w:rPr>
        <w:t>Para la estructura orgánica consulte el enlace de transparencia, estructura organizacional:</w:t>
      </w:r>
    </w:p>
    <w:p w14:paraId="65961994" w14:textId="77777777" w:rsidR="00DE3C06" w:rsidRPr="000C5171" w:rsidRDefault="00000000" w:rsidP="00DE3C06">
      <w:pPr>
        <w:spacing w:after="0" w:line="276" w:lineRule="auto"/>
        <w:jc w:val="both"/>
        <w:rPr>
          <w:rStyle w:val="Hipervnculo"/>
          <w:rFonts w:eastAsia="Arial" w:cs="Tahoma"/>
          <w:color w:val="auto"/>
          <w:sz w:val="22"/>
          <w:szCs w:val="22"/>
        </w:rPr>
      </w:pPr>
      <w:hyperlink r:id="rId10" w:history="1">
        <w:r w:rsidR="00DE3C06" w:rsidRPr="000C5171">
          <w:rPr>
            <w:rStyle w:val="Hipervnculo"/>
            <w:rFonts w:eastAsia="Arial" w:cs="Tahoma"/>
            <w:sz w:val="22"/>
            <w:szCs w:val="22"/>
          </w:rPr>
          <w:t>https://www.renovacionterritorio.gov.co/la-art/organigrama</w:t>
        </w:r>
      </w:hyperlink>
    </w:p>
    <w:bookmarkEnd w:id="5"/>
    <w:p w14:paraId="4A602F43" w14:textId="77777777" w:rsidR="00DE3C06" w:rsidRPr="000C5171" w:rsidRDefault="00DE3C06" w:rsidP="00DE3C06">
      <w:pPr>
        <w:spacing w:after="0" w:line="276" w:lineRule="auto"/>
        <w:jc w:val="both"/>
        <w:rPr>
          <w:rStyle w:val="Hipervnculo"/>
          <w:rFonts w:eastAsia="Arial" w:cs="Tahoma"/>
          <w:color w:val="auto"/>
          <w:sz w:val="22"/>
          <w:szCs w:val="22"/>
        </w:rPr>
      </w:pPr>
    </w:p>
    <w:p w14:paraId="6701F7C7" w14:textId="77777777" w:rsidR="00DE3C06" w:rsidRPr="000C5171" w:rsidRDefault="00DE3C06" w:rsidP="00DE3C06">
      <w:pPr>
        <w:spacing w:after="0" w:line="276" w:lineRule="auto"/>
        <w:jc w:val="both"/>
        <w:rPr>
          <w:rFonts w:eastAsia="Arial" w:cs="Tahoma"/>
          <w:sz w:val="22"/>
          <w:szCs w:val="22"/>
        </w:rPr>
      </w:pPr>
      <w:r w:rsidRPr="000C5171">
        <w:rPr>
          <w:rFonts w:eastAsia="Arial" w:cs="Tahoma"/>
          <w:sz w:val="22"/>
          <w:szCs w:val="22"/>
        </w:rPr>
        <w:t xml:space="preserve">Para conocer la Planta de Personal y Directivos ART consulte </w:t>
      </w:r>
      <w:r w:rsidRPr="000C5171">
        <w:rPr>
          <w:rFonts w:eastAsia="Arial" w:cs="Tahoma"/>
          <w:b/>
          <w:bCs/>
          <w:sz w:val="22"/>
          <w:szCs w:val="22"/>
          <w:u w:val="single"/>
        </w:rPr>
        <w:t>ANEXO 2.</w:t>
      </w:r>
      <w:r w:rsidRPr="000C5171">
        <w:rPr>
          <w:rFonts w:eastAsia="Arial" w:cs="Tahoma"/>
          <w:sz w:val="22"/>
          <w:szCs w:val="22"/>
          <w:u w:val="single"/>
        </w:rPr>
        <w:t xml:space="preserve"> Planta Global</w:t>
      </w:r>
      <w:r w:rsidRPr="000C5171">
        <w:rPr>
          <w:rFonts w:eastAsia="Arial" w:cs="Tahoma"/>
          <w:sz w:val="22"/>
          <w:szCs w:val="22"/>
        </w:rPr>
        <w:t xml:space="preserve"> – con fecha de actualización de 30 de junio de 2026. </w:t>
      </w:r>
    </w:p>
    <w:p w14:paraId="518B7059" w14:textId="77777777" w:rsidR="00DE3C06" w:rsidRPr="000C5171" w:rsidRDefault="00DE3C06" w:rsidP="00DE3C06">
      <w:pPr>
        <w:spacing w:after="0" w:line="276" w:lineRule="auto"/>
        <w:jc w:val="both"/>
        <w:rPr>
          <w:rFonts w:eastAsia="Arial" w:cs="Tahoma"/>
          <w:sz w:val="22"/>
          <w:szCs w:val="22"/>
        </w:rPr>
      </w:pPr>
    </w:p>
    <w:p w14:paraId="6D61E51D" w14:textId="77777777" w:rsidR="00DE3C06" w:rsidRPr="000C5171" w:rsidRDefault="00DE3C06" w:rsidP="00DE3C06">
      <w:pPr>
        <w:spacing w:line="276" w:lineRule="auto"/>
        <w:ind w:left="708"/>
        <w:jc w:val="both"/>
        <w:rPr>
          <w:rFonts w:cs="Tahoma"/>
          <w:b/>
          <w:bCs/>
          <w:sz w:val="22"/>
          <w:szCs w:val="22"/>
        </w:rPr>
      </w:pPr>
      <w:r w:rsidRPr="000C5171">
        <w:rPr>
          <w:rFonts w:cs="Tahoma"/>
          <w:b/>
          <w:bCs/>
          <w:sz w:val="22"/>
          <w:szCs w:val="22"/>
        </w:rPr>
        <w:t>Estructura Interna</w:t>
      </w:r>
    </w:p>
    <w:tbl>
      <w:tblPr>
        <w:tblW w:w="7147" w:type="dxa"/>
        <w:jc w:val="center"/>
        <w:tblCellMar>
          <w:left w:w="70" w:type="dxa"/>
          <w:right w:w="70" w:type="dxa"/>
        </w:tblCellMar>
        <w:tblLook w:val="04A0" w:firstRow="1" w:lastRow="0" w:firstColumn="1" w:lastColumn="0" w:noHBand="0" w:noVBand="1"/>
      </w:tblPr>
      <w:tblGrid>
        <w:gridCol w:w="146"/>
        <w:gridCol w:w="7001"/>
      </w:tblGrid>
      <w:tr w:rsidR="00DE3C06" w:rsidRPr="000C5171" w14:paraId="3F658CF9" w14:textId="77777777" w:rsidTr="008A49D0">
        <w:trPr>
          <w:trHeight w:val="300"/>
          <w:jc w:val="center"/>
        </w:trPr>
        <w:tc>
          <w:tcPr>
            <w:tcW w:w="146" w:type="dxa"/>
            <w:tcBorders>
              <w:top w:val="nil"/>
              <w:left w:val="nil"/>
              <w:bottom w:val="nil"/>
              <w:right w:val="nil"/>
            </w:tcBorders>
            <w:vAlign w:val="bottom"/>
          </w:tcPr>
          <w:p w14:paraId="5F9F811E" w14:textId="77777777" w:rsidR="00DE3C06" w:rsidRPr="000C5171" w:rsidRDefault="00DE3C06" w:rsidP="008A49D0">
            <w:pPr>
              <w:spacing w:after="0" w:line="276" w:lineRule="auto"/>
              <w:rPr>
                <w:rFonts w:eastAsia="Times New Roman" w:cs="Tahoma"/>
                <w:b/>
                <w:bCs/>
                <w:sz w:val="22"/>
                <w:szCs w:val="22"/>
                <w:lang w:eastAsia="es-CO"/>
              </w:rPr>
            </w:pPr>
          </w:p>
        </w:tc>
        <w:tc>
          <w:tcPr>
            <w:tcW w:w="7001" w:type="dxa"/>
            <w:tcBorders>
              <w:top w:val="nil"/>
              <w:left w:val="nil"/>
              <w:bottom w:val="nil"/>
              <w:right w:val="nil"/>
            </w:tcBorders>
            <w:noWrap/>
            <w:vAlign w:val="bottom"/>
            <w:hideMark/>
          </w:tcPr>
          <w:p w14:paraId="05295835" w14:textId="77777777" w:rsidR="00DE3C06" w:rsidRPr="000C5171" w:rsidRDefault="00DE3C06" w:rsidP="008A49D0">
            <w:pPr>
              <w:spacing w:after="0" w:line="276" w:lineRule="auto"/>
              <w:rPr>
                <w:rFonts w:eastAsia="Times New Roman" w:cs="Tahoma"/>
                <w:b/>
                <w:bCs/>
                <w:sz w:val="22"/>
                <w:szCs w:val="22"/>
                <w:lang w:eastAsia="es-CO"/>
              </w:rPr>
            </w:pPr>
            <w:r w:rsidRPr="000C5171">
              <w:rPr>
                <w:rFonts w:eastAsia="Times New Roman" w:cs="Tahoma"/>
                <w:b/>
                <w:bCs/>
                <w:sz w:val="22"/>
                <w:szCs w:val="22"/>
                <w:lang w:eastAsia="es-CO"/>
              </w:rPr>
              <w:t>CONSEJO DIRECTIVO</w:t>
            </w:r>
          </w:p>
          <w:p w14:paraId="1E29A9D8" w14:textId="77777777" w:rsidR="00DE3C06" w:rsidRPr="000C5171" w:rsidRDefault="00DE3C06" w:rsidP="008A49D0">
            <w:pPr>
              <w:spacing w:after="0" w:line="276" w:lineRule="auto"/>
              <w:rPr>
                <w:rFonts w:eastAsia="Times New Roman" w:cs="Tahoma"/>
                <w:b/>
                <w:bCs/>
                <w:sz w:val="22"/>
                <w:szCs w:val="22"/>
                <w:lang w:eastAsia="es-CO"/>
              </w:rPr>
            </w:pPr>
            <w:r w:rsidRPr="000C5171">
              <w:rPr>
                <w:rFonts w:eastAsia="Times New Roman" w:cs="Tahoma"/>
                <w:b/>
                <w:bCs/>
                <w:sz w:val="22"/>
                <w:szCs w:val="22"/>
                <w:lang w:eastAsia="es-CO"/>
              </w:rPr>
              <w:t>DIRECCIÓN GENERAL</w:t>
            </w:r>
          </w:p>
        </w:tc>
      </w:tr>
      <w:tr w:rsidR="00DE3C06" w:rsidRPr="000C5171" w14:paraId="032FB9F2" w14:textId="77777777" w:rsidTr="008A49D0">
        <w:trPr>
          <w:trHeight w:val="300"/>
          <w:jc w:val="center"/>
        </w:trPr>
        <w:tc>
          <w:tcPr>
            <w:tcW w:w="146" w:type="dxa"/>
            <w:tcBorders>
              <w:top w:val="nil"/>
              <w:left w:val="nil"/>
              <w:bottom w:val="nil"/>
              <w:right w:val="nil"/>
            </w:tcBorders>
            <w:vAlign w:val="bottom"/>
          </w:tcPr>
          <w:p w14:paraId="35DE0D91" w14:textId="77777777" w:rsidR="00DE3C06" w:rsidRPr="000C5171" w:rsidRDefault="00DE3C06" w:rsidP="008A49D0">
            <w:pPr>
              <w:spacing w:after="0" w:line="276" w:lineRule="auto"/>
              <w:rPr>
                <w:rFonts w:eastAsia="Times New Roman" w:cs="Tahoma"/>
                <w:sz w:val="22"/>
                <w:szCs w:val="22"/>
                <w:lang w:eastAsia="es-CO"/>
              </w:rPr>
            </w:pPr>
          </w:p>
        </w:tc>
        <w:tc>
          <w:tcPr>
            <w:tcW w:w="7001" w:type="dxa"/>
            <w:tcBorders>
              <w:top w:val="nil"/>
              <w:left w:val="nil"/>
              <w:bottom w:val="nil"/>
              <w:right w:val="nil"/>
            </w:tcBorders>
            <w:noWrap/>
            <w:vAlign w:val="bottom"/>
            <w:hideMark/>
          </w:tcPr>
          <w:p w14:paraId="22BB36BD" w14:textId="77777777" w:rsidR="00DE3C06" w:rsidRPr="000C5171" w:rsidRDefault="00DE3C06" w:rsidP="008A49D0">
            <w:pPr>
              <w:spacing w:after="0" w:line="276" w:lineRule="auto"/>
              <w:rPr>
                <w:rFonts w:eastAsia="Times New Roman" w:cs="Tahoma"/>
                <w:sz w:val="22"/>
                <w:szCs w:val="22"/>
                <w:lang w:eastAsia="es-CO"/>
              </w:rPr>
            </w:pPr>
            <w:r w:rsidRPr="000C5171">
              <w:rPr>
                <w:rFonts w:eastAsia="Times New Roman" w:cs="Tahoma"/>
                <w:sz w:val="22"/>
                <w:szCs w:val="22"/>
                <w:lang w:eastAsia="es-CO"/>
              </w:rPr>
              <w:t>Oficina Jurídica</w:t>
            </w:r>
          </w:p>
        </w:tc>
      </w:tr>
      <w:tr w:rsidR="00DE3C06" w:rsidRPr="000C5171" w14:paraId="4AEF0A4B" w14:textId="77777777" w:rsidTr="008A49D0">
        <w:trPr>
          <w:trHeight w:val="300"/>
          <w:jc w:val="center"/>
        </w:trPr>
        <w:tc>
          <w:tcPr>
            <w:tcW w:w="146" w:type="dxa"/>
            <w:tcBorders>
              <w:top w:val="nil"/>
              <w:left w:val="nil"/>
              <w:bottom w:val="nil"/>
              <w:right w:val="nil"/>
            </w:tcBorders>
            <w:vAlign w:val="bottom"/>
          </w:tcPr>
          <w:p w14:paraId="58FD1EC0" w14:textId="77777777" w:rsidR="00DE3C06" w:rsidRPr="000C5171" w:rsidRDefault="00DE3C06" w:rsidP="008A49D0">
            <w:pPr>
              <w:spacing w:after="0" w:line="276" w:lineRule="auto"/>
              <w:rPr>
                <w:rFonts w:eastAsia="Times New Roman" w:cs="Tahoma"/>
                <w:sz w:val="22"/>
                <w:szCs w:val="22"/>
                <w:lang w:eastAsia="es-CO"/>
              </w:rPr>
            </w:pPr>
          </w:p>
        </w:tc>
        <w:tc>
          <w:tcPr>
            <w:tcW w:w="7001" w:type="dxa"/>
            <w:tcBorders>
              <w:top w:val="nil"/>
              <w:left w:val="nil"/>
              <w:bottom w:val="nil"/>
              <w:right w:val="nil"/>
            </w:tcBorders>
            <w:noWrap/>
            <w:vAlign w:val="bottom"/>
            <w:hideMark/>
          </w:tcPr>
          <w:p w14:paraId="0191A18B" w14:textId="77777777" w:rsidR="00DE3C06" w:rsidRPr="000C5171" w:rsidRDefault="00DE3C06" w:rsidP="008A49D0">
            <w:pPr>
              <w:spacing w:after="0" w:line="276" w:lineRule="auto"/>
              <w:rPr>
                <w:rFonts w:eastAsia="Times New Roman" w:cs="Tahoma"/>
                <w:sz w:val="22"/>
                <w:szCs w:val="22"/>
                <w:lang w:eastAsia="es-CO"/>
              </w:rPr>
            </w:pPr>
            <w:r w:rsidRPr="000C5171">
              <w:rPr>
                <w:rFonts w:eastAsia="Times New Roman" w:cs="Tahoma"/>
                <w:sz w:val="22"/>
                <w:szCs w:val="22"/>
                <w:lang w:eastAsia="es-CO"/>
              </w:rPr>
              <w:t>Oficina de Planeación</w:t>
            </w:r>
          </w:p>
        </w:tc>
      </w:tr>
      <w:tr w:rsidR="00DE3C06" w:rsidRPr="000C5171" w14:paraId="39D7E713" w14:textId="77777777" w:rsidTr="008A49D0">
        <w:trPr>
          <w:trHeight w:val="300"/>
          <w:jc w:val="center"/>
        </w:trPr>
        <w:tc>
          <w:tcPr>
            <w:tcW w:w="146" w:type="dxa"/>
            <w:tcBorders>
              <w:top w:val="nil"/>
              <w:left w:val="nil"/>
              <w:bottom w:val="nil"/>
              <w:right w:val="nil"/>
            </w:tcBorders>
            <w:vAlign w:val="bottom"/>
          </w:tcPr>
          <w:p w14:paraId="4F6AACF3" w14:textId="77777777" w:rsidR="00DE3C06" w:rsidRPr="000C5171" w:rsidRDefault="00DE3C06" w:rsidP="008A49D0">
            <w:pPr>
              <w:spacing w:after="0" w:line="276" w:lineRule="auto"/>
              <w:rPr>
                <w:rFonts w:eastAsia="Times New Roman" w:cs="Tahoma"/>
                <w:sz w:val="22"/>
                <w:szCs w:val="22"/>
                <w:lang w:eastAsia="es-CO"/>
              </w:rPr>
            </w:pPr>
          </w:p>
        </w:tc>
        <w:tc>
          <w:tcPr>
            <w:tcW w:w="7001" w:type="dxa"/>
            <w:tcBorders>
              <w:top w:val="nil"/>
              <w:left w:val="nil"/>
              <w:bottom w:val="nil"/>
              <w:right w:val="nil"/>
            </w:tcBorders>
            <w:noWrap/>
            <w:vAlign w:val="bottom"/>
            <w:hideMark/>
          </w:tcPr>
          <w:p w14:paraId="4A79B314" w14:textId="77777777" w:rsidR="00DE3C06" w:rsidRPr="000C5171" w:rsidRDefault="00DE3C06" w:rsidP="008A49D0">
            <w:pPr>
              <w:spacing w:after="0" w:line="276" w:lineRule="auto"/>
              <w:rPr>
                <w:rFonts w:eastAsia="Times New Roman" w:cs="Tahoma"/>
                <w:sz w:val="22"/>
                <w:szCs w:val="22"/>
                <w:lang w:eastAsia="es-CO"/>
              </w:rPr>
            </w:pPr>
            <w:r w:rsidRPr="000C5171">
              <w:rPr>
                <w:rFonts w:eastAsia="Times New Roman" w:cs="Tahoma"/>
                <w:sz w:val="22"/>
                <w:szCs w:val="22"/>
                <w:lang w:eastAsia="es-CO"/>
              </w:rPr>
              <w:t>Oficina de Comunicaciones</w:t>
            </w:r>
          </w:p>
        </w:tc>
      </w:tr>
      <w:tr w:rsidR="00DE3C06" w:rsidRPr="000C5171" w14:paraId="360B5F22" w14:textId="77777777" w:rsidTr="008A49D0">
        <w:trPr>
          <w:trHeight w:val="300"/>
          <w:jc w:val="center"/>
        </w:trPr>
        <w:tc>
          <w:tcPr>
            <w:tcW w:w="146" w:type="dxa"/>
            <w:tcBorders>
              <w:top w:val="nil"/>
              <w:left w:val="nil"/>
              <w:bottom w:val="nil"/>
              <w:right w:val="nil"/>
            </w:tcBorders>
            <w:vAlign w:val="bottom"/>
          </w:tcPr>
          <w:p w14:paraId="2AC89174" w14:textId="77777777" w:rsidR="00DE3C06" w:rsidRPr="000C5171" w:rsidRDefault="00DE3C06" w:rsidP="008A49D0">
            <w:pPr>
              <w:spacing w:after="0" w:line="276" w:lineRule="auto"/>
              <w:rPr>
                <w:rFonts w:eastAsia="Times New Roman" w:cs="Tahoma"/>
                <w:sz w:val="22"/>
                <w:szCs w:val="22"/>
                <w:lang w:eastAsia="es-CO"/>
              </w:rPr>
            </w:pPr>
          </w:p>
        </w:tc>
        <w:tc>
          <w:tcPr>
            <w:tcW w:w="7001" w:type="dxa"/>
            <w:tcBorders>
              <w:top w:val="nil"/>
              <w:left w:val="nil"/>
              <w:bottom w:val="nil"/>
              <w:right w:val="nil"/>
            </w:tcBorders>
            <w:noWrap/>
            <w:vAlign w:val="bottom"/>
            <w:hideMark/>
          </w:tcPr>
          <w:p w14:paraId="6B80E8E7" w14:textId="77777777" w:rsidR="00DE3C06" w:rsidRPr="000C5171" w:rsidRDefault="00DE3C06" w:rsidP="008A49D0">
            <w:pPr>
              <w:spacing w:after="0" w:line="276" w:lineRule="auto"/>
              <w:rPr>
                <w:rFonts w:eastAsia="Times New Roman" w:cs="Tahoma"/>
                <w:sz w:val="22"/>
                <w:szCs w:val="22"/>
                <w:lang w:eastAsia="es-CO"/>
              </w:rPr>
            </w:pPr>
            <w:r w:rsidRPr="000C5171">
              <w:rPr>
                <w:rFonts w:eastAsia="Times New Roman" w:cs="Tahoma"/>
                <w:sz w:val="22"/>
                <w:szCs w:val="22"/>
                <w:lang w:eastAsia="es-CO"/>
              </w:rPr>
              <w:t>Oficina de Tecnologías de la Información</w:t>
            </w:r>
          </w:p>
          <w:p w14:paraId="4B73D6FC" w14:textId="77777777" w:rsidR="00DE3C06" w:rsidRPr="000C5171" w:rsidRDefault="00DE3C06" w:rsidP="008A49D0">
            <w:pPr>
              <w:spacing w:after="0" w:line="276" w:lineRule="auto"/>
              <w:rPr>
                <w:rFonts w:eastAsia="Times New Roman" w:cs="Tahoma"/>
                <w:sz w:val="22"/>
                <w:szCs w:val="22"/>
                <w:lang w:eastAsia="es-CO"/>
              </w:rPr>
            </w:pPr>
            <w:r w:rsidRPr="000C5171">
              <w:rPr>
                <w:rFonts w:eastAsia="Times New Roman" w:cs="Tahoma"/>
                <w:sz w:val="22"/>
                <w:szCs w:val="22"/>
                <w:lang w:eastAsia="es-CO"/>
              </w:rPr>
              <w:t>Grupos internos de trabajo subregionales</w:t>
            </w:r>
            <w:r w:rsidRPr="000C5171">
              <w:rPr>
                <w:rStyle w:val="Refdenotaalpie"/>
                <w:rFonts w:eastAsia="Times New Roman" w:cs="Tahoma"/>
                <w:sz w:val="22"/>
                <w:szCs w:val="22"/>
                <w:lang w:eastAsia="es-CO"/>
              </w:rPr>
              <w:footnoteReference w:id="7"/>
            </w:r>
          </w:p>
        </w:tc>
      </w:tr>
      <w:tr w:rsidR="00DE3C06" w:rsidRPr="000C5171" w14:paraId="5F4C06BF" w14:textId="77777777" w:rsidTr="008A49D0">
        <w:trPr>
          <w:trHeight w:val="300"/>
          <w:jc w:val="center"/>
        </w:trPr>
        <w:tc>
          <w:tcPr>
            <w:tcW w:w="146" w:type="dxa"/>
            <w:tcBorders>
              <w:top w:val="nil"/>
              <w:left w:val="nil"/>
              <w:bottom w:val="nil"/>
              <w:right w:val="nil"/>
            </w:tcBorders>
            <w:vAlign w:val="bottom"/>
          </w:tcPr>
          <w:p w14:paraId="6D4D702B" w14:textId="77777777" w:rsidR="00DE3C06" w:rsidRPr="000C5171" w:rsidRDefault="00DE3C06" w:rsidP="008A49D0">
            <w:pPr>
              <w:spacing w:after="0" w:line="276" w:lineRule="auto"/>
              <w:rPr>
                <w:rFonts w:eastAsia="Times New Roman" w:cs="Tahoma"/>
                <w:b/>
                <w:bCs/>
                <w:sz w:val="22"/>
                <w:szCs w:val="22"/>
                <w:lang w:eastAsia="es-CO"/>
              </w:rPr>
            </w:pPr>
          </w:p>
        </w:tc>
        <w:tc>
          <w:tcPr>
            <w:tcW w:w="7001" w:type="dxa"/>
            <w:tcBorders>
              <w:top w:val="nil"/>
              <w:left w:val="nil"/>
              <w:bottom w:val="nil"/>
              <w:right w:val="nil"/>
            </w:tcBorders>
            <w:noWrap/>
            <w:vAlign w:val="bottom"/>
            <w:hideMark/>
          </w:tcPr>
          <w:p w14:paraId="4ED51323" w14:textId="77777777" w:rsidR="00DE3C06" w:rsidRPr="000C5171" w:rsidRDefault="00DE3C06" w:rsidP="008A49D0">
            <w:pPr>
              <w:spacing w:after="0" w:line="276" w:lineRule="auto"/>
              <w:rPr>
                <w:rFonts w:eastAsia="Times New Roman" w:cs="Tahoma"/>
                <w:b/>
                <w:bCs/>
                <w:sz w:val="22"/>
                <w:szCs w:val="22"/>
                <w:lang w:eastAsia="es-CO"/>
              </w:rPr>
            </w:pPr>
            <w:r w:rsidRPr="000C5171">
              <w:rPr>
                <w:rFonts w:eastAsia="Times New Roman" w:cs="Tahoma"/>
                <w:b/>
                <w:bCs/>
                <w:sz w:val="22"/>
                <w:szCs w:val="22"/>
                <w:lang w:eastAsia="es-CO"/>
              </w:rPr>
              <w:t>SECRETARÍA GENERAL</w:t>
            </w:r>
          </w:p>
        </w:tc>
      </w:tr>
      <w:tr w:rsidR="00DE3C06" w:rsidRPr="000C5171" w14:paraId="18F83CD8" w14:textId="77777777" w:rsidTr="008A49D0">
        <w:trPr>
          <w:trHeight w:val="300"/>
          <w:jc w:val="center"/>
        </w:trPr>
        <w:tc>
          <w:tcPr>
            <w:tcW w:w="146" w:type="dxa"/>
            <w:tcBorders>
              <w:top w:val="nil"/>
              <w:left w:val="nil"/>
              <w:bottom w:val="nil"/>
              <w:right w:val="nil"/>
            </w:tcBorders>
            <w:vAlign w:val="bottom"/>
          </w:tcPr>
          <w:p w14:paraId="02ABAFD9" w14:textId="77777777" w:rsidR="00DE3C06" w:rsidRPr="000C5171" w:rsidRDefault="00DE3C06" w:rsidP="008A49D0">
            <w:pPr>
              <w:spacing w:after="0" w:line="276" w:lineRule="auto"/>
              <w:rPr>
                <w:rFonts w:eastAsia="Times New Roman" w:cs="Tahoma"/>
                <w:sz w:val="22"/>
                <w:szCs w:val="22"/>
                <w:lang w:eastAsia="es-CO"/>
              </w:rPr>
            </w:pPr>
          </w:p>
        </w:tc>
        <w:tc>
          <w:tcPr>
            <w:tcW w:w="7001" w:type="dxa"/>
            <w:tcBorders>
              <w:top w:val="nil"/>
              <w:left w:val="nil"/>
              <w:bottom w:val="nil"/>
              <w:right w:val="nil"/>
            </w:tcBorders>
            <w:noWrap/>
            <w:vAlign w:val="bottom"/>
            <w:hideMark/>
          </w:tcPr>
          <w:p w14:paraId="0F85BEDF" w14:textId="77777777" w:rsidR="00DE3C06" w:rsidRPr="000C5171" w:rsidRDefault="00DE3C06" w:rsidP="008A49D0">
            <w:pPr>
              <w:spacing w:after="0" w:line="276" w:lineRule="auto"/>
              <w:rPr>
                <w:rFonts w:eastAsia="Times New Roman" w:cs="Tahoma"/>
                <w:sz w:val="22"/>
                <w:szCs w:val="22"/>
                <w:lang w:eastAsia="es-CO"/>
              </w:rPr>
            </w:pPr>
            <w:r w:rsidRPr="000C5171">
              <w:rPr>
                <w:rFonts w:eastAsia="Times New Roman" w:cs="Tahoma"/>
                <w:sz w:val="22"/>
                <w:szCs w:val="22"/>
                <w:lang w:eastAsia="es-CO"/>
              </w:rPr>
              <w:t>Grupo Interno de Trabajo Financiera</w:t>
            </w:r>
          </w:p>
        </w:tc>
      </w:tr>
      <w:tr w:rsidR="00DE3C06" w:rsidRPr="000C5171" w14:paraId="0CE16861" w14:textId="77777777" w:rsidTr="008A49D0">
        <w:trPr>
          <w:trHeight w:val="300"/>
          <w:jc w:val="center"/>
        </w:trPr>
        <w:tc>
          <w:tcPr>
            <w:tcW w:w="146" w:type="dxa"/>
            <w:tcBorders>
              <w:top w:val="nil"/>
              <w:left w:val="nil"/>
              <w:bottom w:val="nil"/>
              <w:right w:val="nil"/>
            </w:tcBorders>
            <w:vAlign w:val="bottom"/>
          </w:tcPr>
          <w:p w14:paraId="0642EE0F" w14:textId="77777777" w:rsidR="00DE3C06" w:rsidRPr="000C5171" w:rsidRDefault="00DE3C06" w:rsidP="008A49D0">
            <w:pPr>
              <w:spacing w:after="0" w:line="276" w:lineRule="auto"/>
              <w:rPr>
                <w:rFonts w:eastAsia="Times New Roman" w:cs="Tahoma"/>
                <w:sz w:val="22"/>
                <w:szCs w:val="22"/>
                <w:lang w:eastAsia="es-CO"/>
              </w:rPr>
            </w:pPr>
          </w:p>
        </w:tc>
        <w:tc>
          <w:tcPr>
            <w:tcW w:w="7001" w:type="dxa"/>
            <w:tcBorders>
              <w:top w:val="nil"/>
              <w:left w:val="nil"/>
              <w:bottom w:val="nil"/>
              <w:right w:val="nil"/>
            </w:tcBorders>
            <w:noWrap/>
            <w:vAlign w:val="bottom"/>
            <w:hideMark/>
          </w:tcPr>
          <w:p w14:paraId="50B362C8" w14:textId="77777777" w:rsidR="00DE3C06" w:rsidRPr="000C5171" w:rsidRDefault="00DE3C06" w:rsidP="008A49D0">
            <w:pPr>
              <w:spacing w:after="0" w:line="276" w:lineRule="auto"/>
              <w:rPr>
                <w:rFonts w:eastAsia="Times New Roman" w:cs="Tahoma"/>
                <w:sz w:val="22"/>
                <w:szCs w:val="22"/>
                <w:lang w:eastAsia="es-CO"/>
              </w:rPr>
            </w:pPr>
            <w:r w:rsidRPr="000C5171">
              <w:rPr>
                <w:rFonts w:eastAsia="Times New Roman" w:cs="Tahoma"/>
                <w:sz w:val="22"/>
                <w:szCs w:val="22"/>
                <w:lang w:eastAsia="es-CO"/>
              </w:rPr>
              <w:t>Grupo Interno de Trabajo Talento Humano</w:t>
            </w:r>
          </w:p>
        </w:tc>
      </w:tr>
      <w:tr w:rsidR="00DE3C06" w:rsidRPr="000C5171" w14:paraId="5E9F56ED" w14:textId="77777777" w:rsidTr="008A49D0">
        <w:trPr>
          <w:trHeight w:val="300"/>
          <w:jc w:val="center"/>
        </w:trPr>
        <w:tc>
          <w:tcPr>
            <w:tcW w:w="146" w:type="dxa"/>
            <w:tcBorders>
              <w:top w:val="nil"/>
              <w:left w:val="nil"/>
              <w:bottom w:val="nil"/>
              <w:right w:val="nil"/>
            </w:tcBorders>
            <w:vAlign w:val="bottom"/>
          </w:tcPr>
          <w:p w14:paraId="3E6DFCEC" w14:textId="77777777" w:rsidR="00DE3C06" w:rsidRPr="000C5171" w:rsidRDefault="00DE3C06" w:rsidP="008A49D0">
            <w:pPr>
              <w:spacing w:after="0" w:line="276" w:lineRule="auto"/>
              <w:rPr>
                <w:rFonts w:eastAsia="Times New Roman" w:cs="Tahoma"/>
                <w:sz w:val="22"/>
                <w:szCs w:val="22"/>
                <w:lang w:eastAsia="es-CO"/>
              </w:rPr>
            </w:pPr>
          </w:p>
        </w:tc>
        <w:tc>
          <w:tcPr>
            <w:tcW w:w="7001" w:type="dxa"/>
            <w:tcBorders>
              <w:top w:val="nil"/>
              <w:left w:val="nil"/>
              <w:bottom w:val="nil"/>
              <w:right w:val="nil"/>
            </w:tcBorders>
            <w:noWrap/>
            <w:vAlign w:val="bottom"/>
            <w:hideMark/>
          </w:tcPr>
          <w:p w14:paraId="1C8CBF9B" w14:textId="77777777" w:rsidR="00DE3C06" w:rsidRPr="000C5171" w:rsidRDefault="00DE3C06" w:rsidP="008A49D0">
            <w:pPr>
              <w:spacing w:after="0" w:line="276" w:lineRule="auto"/>
              <w:rPr>
                <w:rFonts w:eastAsia="Times New Roman" w:cs="Tahoma"/>
                <w:sz w:val="22"/>
                <w:szCs w:val="22"/>
                <w:lang w:eastAsia="es-CO"/>
              </w:rPr>
            </w:pPr>
            <w:r w:rsidRPr="000C5171">
              <w:rPr>
                <w:rFonts w:eastAsia="Times New Roman" w:cs="Tahoma"/>
                <w:sz w:val="22"/>
                <w:szCs w:val="22"/>
                <w:lang w:eastAsia="es-CO"/>
              </w:rPr>
              <w:t>Grupo Interno de Trabajo Relación Estado Ciudadano</w:t>
            </w:r>
          </w:p>
        </w:tc>
      </w:tr>
      <w:tr w:rsidR="00DE3C06" w:rsidRPr="000C5171" w14:paraId="36838827" w14:textId="77777777" w:rsidTr="008A49D0">
        <w:trPr>
          <w:trHeight w:val="300"/>
          <w:jc w:val="center"/>
        </w:trPr>
        <w:tc>
          <w:tcPr>
            <w:tcW w:w="146" w:type="dxa"/>
            <w:tcBorders>
              <w:top w:val="nil"/>
              <w:left w:val="nil"/>
              <w:bottom w:val="nil"/>
              <w:right w:val="nil"/>
            </w:tcBorders>
            <w:vAlign w:val="bottom"/>
          </w:tcPr>
          <w:p w14:paraId="21D6B617" w14:textId="77777777" w:rsidR="00DE3C06" w:rsidRPr="000C5171" w:rsidRDefault="00DE3C06" w:rsidP="008A49D0">
            <w:pPr>
              <w:spacing w:after="0" w:line="276" w:lineRule="auto"/>
              <w:rPr>
                <w:rFonts w:eastAsia="Times New Roman" w:cs="Tahoma"/>
                <w:sz w:val="22"/>
                <w:szCs w:val="22"/>
                <w:lang w:eastAsia="es-CO"/>
              </w:rPr>
            </w:pPr>
          </w:p>
        </w:tc>
        <w:tc>
          <w:tcPr>
            <w:tcW w:w="7001" w:type="dxa"/>
            <w:tcBorders>
              <w:top w:val="nil"/>
              <w:left w:val="nil"/>
              <w:bottom w:val="nil"/>
              <w:right w:val="nil"/>
            </w:tcBorders>
            <w:noWrap/>
            <w:vAlign w:val="bottom"/>
            <w:hideMark/>
          </w:tcPr>
          <w:p w14:paraId="45144ABA" w14:textId="77777777" w:rsidR="00DE3C06" w:rsidRPr="000C5171" w:rsidRDefault="00DE3C06" w:rsidP="008A49D0">
            <w:pPr>
              <w:spacing w:after="0" w:line="276" w:lineRule="auto"/>
              <w:rPr>
                <w:rFonts w:eastAsia="Times New Roman" w:cs="Tahoma"/>
                <w:sz w:val="22"/>
                <w:szCs w:val="22"/>
                <w:lang w:eastAsia="es-CO"/>
              </w:rPr>
            </w:pPr>
            <w:r w:rsidRPr="000C5171">
              <w:rPr>
                <w:rFonts w:eastAsia="Times New Roman" w:cs="Tahoma"/>
                <w:sz w:val="22"/>
                <w:szCs w:val="22"/>
                <w:lang w:eastAsia="es-CO"/>
              </w:rPr>
              <w:t>Grupo Interno de Trabajo Servicios Administrativos</w:t>
            </w:r>
          </w:p>
        </w:tc>
      </w:tr>
      <w:tr w:rsidR="00DE3C06" w:rsidRPr="000C5171" w14:paraId="6C17C88A" w14:textId="77777777" w:rsidTr="008A49D0">
        <w:trPr>
          <w:trHeight w:val="300"/>
          <w:jc w:val="center"/>
        </w:trPr>
        <w:tc>
          <w:tcPr>
            <w:tcW w:w="146" w:type="dxa"/>
            <w:tcBorders>
              <w:top w:val="nil"/>
              <w:left w:val="nil"/>
              <w:bottom w:val="nil"/>
              <w:right w:val="nil"/>
            </w:tcBorders>
            <w:vAlign w:val="bottom"/>
          </w:tcPr>
          <w:p w14:paraId="6F0B1E0D" w14:textId="77777777" w:rsidR="00DE3C06" w:rsidRPr="000C5171" w:rsidRDefault="00DE3C06" w:rsidP="008A49D0">
            <w:pPr>
              <w:spacing w:after="0" w:line="276" w:lineRule="auto"/>
              <w:rPr>
                <w:rFonts w:eastAsia="Times New Roman" w:cs="Tahoma"/>
                <w:sz w:val="22"/>
                <w:szCs w:val="22"/>
                <w:lang w:eastAsia="es-CO"/>
              </w:rPr>
            </w:pPr>
          </w:p>
        </w:tc>
        <w:tc>
          <w:tcPr>
            <w:tcW w:w="7001" w:type="dxa"/>
            <w:tcBorders>
              <w:top w:val="nil"/>
              <w:left w:val="nil"/>
              <w:bottom w:val="nil"/>
              <w:right w:val="nil"/>
            </w:tcBorders>
            <w:noWrap/>
            <w:vAlign w:val="bottom"/>
            <w:hideMark/>
          </w:tcPr>
          <w:p w14:paraId="188CC96B" w14:textId="77777777" w:rsidR="00DE3C06" w:rsidRPr="000C5171" w:rsidRDefault="00DE3C06" w:rsidP="008A49D0">
            <w:pPr>
              <w:spacing w:after="0" w:line="276" w:lineRule="auto"/>
              <w:rPr>
                <w:rFonts w:eastAsia="Times New Roman" w:cs="Tahoma"/>
                <w:sz w:val="22"/>
                <w:szCs w:val="22"/>
                <w:lang w:eastAsia="es-CO"/>
              </w:rPr>
            </w:pPr>
            <w:r w:rsidRPr="000C5171">
              <w:rPr>
                <w:rFonts w:eastAsia="Times New Roman" w:cs="Tahoma"/>
                <w:sz w:val="22"/>
                <w:szCs w:val="22"/>
                <w:lang w:eastAsia="es-CO"/>
              </w:rPr>
              <w:t>Grupo Interno de Trabajo Contratación</w:t>
            </w:r>
          </w:p>
        </w:tc>
      </w:tr>
      <w:tr w:rsidR="00DE3C06" w:rsidRPr="000C5171" w14:paraId="46B05D8C" w14:textId="77777777" w:rsidTr="008A49D0">
        <w:trPr>
          <w:trHeight w:val="300"/>
          <w:jc w:val="center"/>
        </w:trPr>
        <w:tc>
          <w:tcPr>
            <w:tcW w:w="146" w:type="dxa"/>
            <w:tcBorders>
              <w:top w:val="nil"/>
              <w:left w:val="nil"/>
              <w:bottom w:val="nil"/>
              <w:right w:val="nil"/>
            </w:tcBorders>
            <w:vAlign w:val="bottom"/>
          </w:tcPr>
          <w:p w14:paraId="67753896" w14:textId="77777777" w:rsidR="00DE3C06" w:rsidRPr="000C5171" w:rsidRDefault="00DE3C06" w:rsidP="008A49D0">
            <w:pPr>
              <w:spacing w:after="0" w:line="276" w:lineRule="auto"/>
              <w:rPr>
                <w:rFonts w:eastAsia="Times New Roman" w:cs="Tahoma"/>
                <w:b/>
                <w:bCs/>
                <w:sz w:val="22"/>
                <w:szCs w:val="22"/>
                <w:lang w:eastAsia="es-CO"/>
              </w:rPr>
            </w:pPr>
          </w:p>
        </w:tc>
        <w:tc>
          <w:tcPr>
            <w:tcW w:w="7001" w:type="dxa"/>
            <w:tcBorders>
              <w:top w:val="nil"/>
              <w:left w:val="nil"/>
              <w:bottom w:val="nil"/>
              <w:right w:val="nil"/>
            </w:tcBorders>
            <w:noWrap/>
            <w:vAlign w:val="bottom"/>
            <w:hideMark/>
          </w:tcPr>
          <w:p w14:paraId="1708C669" w14:textId="77777777" w:rsidR="00DE3C06" w:rsidRPr="000C5171" w:rsidRDefault="00DE3C06" w:rsidP="008A49D0">
            <w:pPr>
              <w:spacing w:after="0" w:line="276" w:lineRule="auto"/>
              <w:rPr>
                <w:rFonts w:eastAsia="Times New Roman" w:cs="Tahoma"/>
                <w:b/>
                <w:bCs/>
                <w:sz w:val="22"/>
                <w:szCs w:val="22"/>
                <w:lang w:eastAsia="es-CO"/>
              </w:rPr>
            </w:pPr>
            <w:r w:rsidRPr="000C5171">
              <w:rPr>
                <w:rFonts w:eastAsia="Times New Roman" w:cs="Tahoma"/>
                <w:b/>
                <w:bCs/>
                <w:sz w:val="22"/>
                <w:szCs w:val="22"/>
                <w:lang w:eastAsia="es-CO"/>
              </w:rPr>
              <w:t>DIRECCION DE PROGRAMACIÓN Y GESTIÓN PARA LA IMPLEMENTACIÓN</w:t>
            </w:r>
          </w:p>
        </w:tc>
      </w:tr>
      <w:tr w:rsidR="00DE3C06" w:rsidRPr="000C5171" w14:paraId="1B83F781" w14:textId="77777777" w:rsidTr="008A49D0">
        <w:trPr>
          <w:trHeight w:val="300"/>
          <w:jc w:val="center"/>
        </w:trPr>
        <w:tc>
          <w:tcPr>
            <w:tcW w:w="146" w:type="dxa"/>
            <w:tcBorders>
              <w:top w:val="nil"/>
              <w:left w:val="nil"/>
              <w:bottom w:val="nil"/>
              <w:right w:val="nil"/>
            </w:tcBorders>
            <w:vAlign w:val="bottom"/>
          </w:tcPr>
          <w:p w14:paraId="77018E8F" w14:textId="77777777" w:rsidR="00DE3C06" w:rsidRPr="000C5171" w:rsidRDefault="00DE3C06" w:rsidP="008A49D0">
            <w:pPr>
              <w:spacing w:after="0" w:line="276" w:lineRule="auto"/>
              <w:rPr>
                <w:rFonts w:eastAsia="Times New Roman" w:cs="Tahoma"/>
                <w:sz w:val="22"/>
                <w:szCs w:val="22"/>
                <w:lang w:eastAsia="es-CO"/>
              </w:rPr>
            </w:pPr>
          </w:p>
        </w:tc>
        <w:tc>
          <w:tcPr>
            <w:tcW w:w="7001" w:type="dxa"/>
            <w:tcBorders>
              <w:top w:val="nil"/>
              <w:left w:val="nil"/>
              <w:bottom w:val="nil"/>
              <w:right w:val="nil"/>
            </w:tcBorders>
            <w:noWrap/>
            <w:vAlign w:val="bottom"/>
            <w:hideMark/>
          </w:tcPr>
          <w:p w14:paraId="11C707D3" w14:textId="77777777" w:rsidR="00DE3C06" w:rsidRPr="000C5171" w:rsidRDefault="00DE3C06" w:rsidP="008A49D0">
            <w:pPr>
              <w:spacing w:after="0" w:line="276" w:lineRule="auto"/>
              <w:rPr>
                <w:rFonts w:eastAsia="Times New Roman" w:cs="Tahoma"/>
                <w:sz w:val="22"/>
                <w:szCs w:val="22"/>
                <w:lang w:eastAsia="es-CO"/>
              </w:rPr>
            </w:pPr>
            <w:r w:rsidRPr="000C5171">
              <w:rPr>
                <w:rFonts w:eastAsia="Times New Roman" w:cs="Tahoma"/>
                <w:sz w:val="22"/>
                <w:szCs w:val="22"/>
                <w:lang w:eastAsia="es-CO"/>
              </w:rPr>
              <w:t>Subdirección de Programación y Coordinación</w:t>
            </w:r>
          </w:p>
        </w:tc>
      </w:tr>
      <w:tr w:rsidR="00DE3C06" w:rsidRPr="000C5171" w14:paraId="3BA39C9E" w14:textId="77777777" w:rsidTr="008A49D0">
        <w:trPr>
          <w:trHeight w:val="300"/>
          <w:jc w:val="center"/>
        </w:trPr>
        <w:tc>
          <w:tcPr>
            <w:tcW w:w="146" w:type="dxa"/>
            <w:tcBorders>
              <w:top w:val="nil"/>
              <w:left w:val="nil"/>
              <w:bottom w:val="nil"/>
              <w:right w:val="nil"/>
            </w:tcBorders>
            <w:vAlign w:val="bottom"/>
          </w:tcPr>
          <w:p w14:paraId="30BADF24" w14:textId="77777777" w:rsidR="00DE3C06" w:rsidRPr="000C5171" w:rsidRDefault="00DE3C06" w:rsidP="008A49D0">
            <w:pPr>
              <w:spacing w:after="0" w:line="276" w:lineRule="auto"/>
              <w:rPr>
                <w:rFonts w:eastAsia="Times New Roman" w:cs="Tahoma"/>
                <w:sz w:val="22"/>
                <w:szCs w:val="22"/>
                <w:lang w:eastAsia="es-CO"/>
              </w:rPr>
            </w:pPr>
          </w:p>
        </w:tc>
        <w:tc>
          <w:tcPr>
            <w:tcW w:w="7001" w:type="dxa"/>
            <w:tcBorders>
              <w:top w:val="nil"/>
              <w:left w:val="nil"/>
              <w:bottom w:val="nil"/>
              <w:right w:val="nil"/>
            </w:tcBorders>
            <w:noWrap/>
            <w:vAlign w:val="bottom"/>
            <w:hideMark/>
          </w:tcPr>
          <w:p w14:paraId="0C0F224D" w14:textId="77777777" w:rsidR="00DE3C06" w:rsidRPr="000C5171" w:rsidRDefault="00DE3C06" w:rsidP="008A49D0">
            <w:pPr>
              <w:spacing w:after="0" w:line="276" w:lineRule="auto"/>
              <w:rPr>
                <w:rFonts w:eastAsia="Times New Roman" w:cs="Tahoma"/>
                <w:sz w:val="22"/>
                <w:szCs w:val="22"/>
                <w:lang w:eastAsia="es-CO"/>
              </w:rPr>
            </w:pPr>
            <w:r w:rsidRPr="000C5171">
              <w:rPr>
                <w:rFonts w:eastAsia="Times New Roman" w:cs="Tahoma"/>
                <w:sz w:val="22"/>
                <w:szCs w:val="22"/>
                <w:lang w:eastAsia="es-CO"/>
              </w:rPr>
              <w:t>Subdirección de Fortalecimiento Territorial</w:t>
            </w:r>
          </w:p>
        </w:tc>
      </w:tr>
      <w:tr w:rsidR="00DE3C06" w:rsidRPr="000C5171" w14:paraId="6A0BA6D6" w14:textId="77777777" w:rsidTr="008A49D0">
        <w:trPr>
          <w:trHeight w:val="300"/>
          <w:jc w:val="center"/>
        </w:trPr>
        <w:tc>
          <w:tcPr>
            <w:tcW w:w="146" w:type="dxa"/>
            <w:tcBorders>
              <w:top w:val="nil"/>
              <w:left w:val="nil"/>
              <w:bottom w:val="nil"/>
              <w:right w:val="nil"/>
            </w:tcBorders>
            <w:vAlign w:val="bottom"/>
          </w:tcPr>
          <w:p w14:paraId="0EBC3F87" w14:textId="77777777" w:rsidR="00DE3C06" w:rsidRPr="000C5171" w:rsidRDefault="00DE3C06" w:rsidP="008A49D0">
            <w:pPr>
              <w:spacing w:after="0" w:line="276" w:lineRule="auto"/>
              <w:rPr>
                <w:rFonts w:eastAsia="Times New Roman" w:cs="Tahoma"/>
                <w:sz w:val="22"/>
                <w:szCs w:val="22"/>
                <w:lang w:eastAsia="es-CO"/>
              </w:rPr>
            </w:pPr>
          </w:p>
        </w:tc>
        <w:tc>
          <w:tcPr>
            <w:tcW w:w="7001" w:type="dxa"/>
            <w:tcBorders>
              <w:top w:val="nil"/>
              <w:left w:val="nil"/>
              <w:bottom w:val="nil"/>
              <w:right w:val="nil"/>
            </w:tcBorders>
            <w:noWrap/>
            <w:vAlign w:val="bottom"/>
            <w:hideMark/>
          </w:tcPr>
          <w:p w14:paraId="66DDE79F" w14:textId="77777777" w:rsidR="00DE3C06" w:rsidRPr="000C5171" w:rsidRDefault="00DE3C06" w:rsidP="008A49D0">
            <w:pPr>
              <w:spacing w:after="0" w:line="276" w:lineRule="auto"/>
              <w:rPr>
                <w:rFonts w:eastAsia="Times New Roman" w:cs="Tahoma"/>
                <w:sz w:val="22"/>
                <w:szCs w:val="22"/>
                <w:lang w:eastAsia="es-CO"/>
              </w:rPr>
            </w:pPr>
            <w:r w:rsidRPr="000C5171">
              <w:rPr>
                <w:rFonts w:eastAsia="Times New Roman" w:cs="Tahoma"/>
                <w:sz w:val="22"/>
                <w:szCs w:val="22"/>
                <w:lang w:eastAsia="es-CO"/>
              </w:rPr>
              <w:t>Subdirección de Financiamiento</w:t>
            </w:r>
          </w:p>
        </w:tc>
      </w:tr>
      <w:tr w:rsidR="00DE3C06" w:rsidRPr="000C5171" w14:paraId="69310D22" w14:textId="77777777" w:rsidTr="008A49D0">
        <w:trPr>
          <w:trHeight w:val="300"/>
          <w:jc w:val="center"/>
        </w:trPr>
        <w:tc>
          <w:tcPr>
            <w:tcW w:w="146" w:type="dxa"/>
            <w:tcBorders>
              <w:top w:val="nil"/>
              <w:left w:val="nil"/>
              <w:bottom w:val="nil"/>
              <w:right w:val="nil"/>
            </w:tcBorders>
            <w:vAlign w:val="bottom"/>
          </w:tcPr>
          <w:p w14:paraId="5C0C450B" w14:textId="77777777" w:rsidR="00DE3C06" w:rsidRPr="000C5171" w:rsidRDefault="00DE3C06" w:rsidP="008A49D0">
            <w:pPr>
              <w:spacing w:after="0" w:line="276" w:lineRule="auto"/>
              <w:rPr>
                <w:rFonts w:eastAsia="Times New Roman" w:cs="Tahoma"/>
                <w:b/>
                <w:bCs/>
                <w:sz w:val="22"/>
                <w:szCs w:val="22"/>
                <w:lang w:eastAsia="es-CO"/>
              </w:rPr>
            </w:pPr>
          </w:p>
        </w:tc>
        <w:tc>
          <w:tcPr>
            <w:tcW w:w="7001" w:type="dxa"/>
            <w:tcBorders>
              <w:top w:val="nil"/>
              <w:left w:val="nil"/>
              <w:bottom w:val="nil"/>
              <w:right w:val="nil"/>
            </w:tcBorders>
            <w:noWrap/>
            <w:vAlign w:val="bottom"/>
            <w:hideMark/>
          </w:tcPr>
          <w:p w14:paraId="5DC1A703" w14:textId="77777777" w:rsidR="00DE3C06" w:rsidRPr="000C5171" w:rsidRDefault="00DE3C06" w:rsidP="008A49D0">
            <w:pPr>
              <w:spacing w:after="0" w:line="276" w:lineRule="auto"/>
              <w:rPr>
                <w:rFonts w:eastAsia="Times New Roman" w:cs="Tahoma"/>
                <w:b/>
                <w:bCs/>
                <w:sz w:val="22"/>
                <w:szCs w:val="22"/>
                <w:lang w:eastAsia="es-CO"/>
              </w:rPr>
            </w:pPr>
            <w:r w:rsidRPr="000C5171">
              <w:rPr>
                <w:rFonts w:eastAsia="Times New Roman" w:cs="Tahoma"/>
                <w:b/>
                <w:bCs/>
                <w:sz w:val="22"/>
                <w:szCs w:val="22"/>
                <w:lang w:eastAsia="es-CO"/>
              </w:rPr>
              <w:t>DIRECCIÓN DE ESTRUCTURACIÓN Y EJECUCIÓN DE PROYECTOS</w:t>
            </w:r>
          </w:p>
        </w:tc>
      </w:tr>
      <w:tr w:rsidR="00DE3C06" w:rsidRPr="000C5171" w14:paraId="4C5AACA2" w14:textId="77777777" w:rsidTr="008A49D0">
        <w:trPr>
          <w:trHeight w:val="300"/>
          <w:jc w:val="center"/>
        </w:trPr>
        <w:tc>
          <w:tcPr>
            <w:tcW w:w="146" w:type="dxa"/>
            <w:tcBorders>
              <w:top w:val="nil"/>
              <w:left w:val="nil"/>
              <w:bottom w:val="nil"/>
              <w:right w:val="nil"/>
            </w:tcBorders>
            <w:vAlign w:val="bottom"/>
          </w:tcPr>
          <w:p w14:paraId="19D1B289" w14:textId="77777777" w:rsidR="00DE3C06" w:rsidRPr="000C5171" w:rsidRDefault="00DE3C06" w:rsidP="008A49D0">
            <w:pPr>
              <w:spacing w:after="0" w:line="276" w:lineRule="auto"/>
              <w:rPr>
                <w:rFonts w:eastAsia="Times New Roman" w:cs="Tahoma"/>
                <w:sz w:val="22"/>
                <w:szCs w:val="22"/>
                <w:lang w:eastAsia="es-CO"/>
              </w:rPr>
            </w:pPr>
          </w:p>
        </w:tc>
        <w:tc>
          <w:tcPr>
            <w:tcW w:w="7001" w:type="dxa"/>
            <w:tcBorders>
              <w:top w:val="nil"/>
              <w:left w:val="nil"/>
              <w:bottom w:val="nil"/>
              <w:right w:val="nil"/>
            </w:tcBorders>
            <w:noWrap/>
            <w:vAlign w:val="bottom"/>
            <w:hideMark/>
          </w:tcPr>
          <w:p w14:paraId="1CBAFBCD" w14:textId="77777777" w:rsidR="00DE3C06" w:rsidRPr="000C5171" w:rsidRDefault="00DE3C06" w:rsidP="008A49D0">
            <w:pPr>
              <w:spacing w:after="0" w:line="276" w:lineRule="auto"/>
              <w:rPr>
                <w:rFonts w:eastAsia="Times New Roman" w:cs="Tahoma"/>
                <w:sz w:val="22"/>
                <w:szCs w:val="22"/>
                <w:lang w:eastAsia="es-CO"/>
              </w:rPr>
            </w:pPr>
            <w:r w:rsidRPr="000C5171">
              <w:rPr>
                <w:rFonts w:eastAsia="Times New Roman" w:cs="Tahoma"/>
                <w:sz w:val="22"/>
                <w:szCs w:val="22"/>
                <w:lang w:eastAsia="es-CO"/>
              </w:rPr>
              <w:t>Subdirección de Reconciliación y Desarrollo Social</w:t>
            </w:r>
          </w:p>
        </w:tc>
      </w:tr>
      <w:tr w:rsidR="00DE3C06" w:rsidRPr="000C5171" w14:paraId="41A30A33" w14:textId="77777777" w:rsidTr="008A49D0">
        <w:trPr>
          <w:trHeight w:val="300"/>
          <w:jc w:val="center"/>
        </w:trPr>
        <w:tc>
          <w:tcPr>
            <w:tcW w:w="146" w:type="dxa"/>
            <w:tcBorders>
              <w:top w:val="nil"/>
              <w:left w:val="nil"/>
              <w:bottom w:val="nil"/>
              <w:right w:val="nil"/>
            </w:tcBorders>
            <w:vAlign w:val="bottom"/>
          </w:tcPr>
          <w:p w14:paraId="4D9D8F6E" w14:textId="77777777" w:rsidR="00DE3C06" w:rsidRPr="000C5171" w:rsidRDefault="00DE3C06" w:rsidP="008A49D0">
            <w:pPr>
              <w:spacing w:after="0" w:line="276" w:lineRule="auto"/>
              <w:rPr>
                <w:rFonts w:eastAsia="Times New Roman" w:cs="Tahoma"/>
                <w:sz w:val="22"/>
                <w:szCs w:val="22"/>
                <w:lang w:eastAsia="es-CO"/>
              </w:rPr>
            </w:pPr>
          </w:p>
        </w:tc>
        <w:tc>
          <w:tcPr>
            <w:tcW w:w="7001" w:type="dxa"/>
            <w:tcBorders>
              <w:top w:val="nil"/>
              <w:left w:val="nil"/>
              <w:bottom w:val="nil"/>
              <w:right w:val="nil"/>
            </w:tcBorders>
            <w:noWrap/>
            <w:vAlign w:val="bottom"/>
            <w:hideMark/>
          </w:tcPr>
          <w:p w14:paraId="30943ADD" w14:textId="77777777" w:rsidR="00DE3C06" w:rsidRPr="000C5171" w:rsidRDefault="00DE3C06" w:rsidP="008A49D0">
            <w:pPr>
              <w:spacing w:after="0" w:line="276" w:lineRule="auto"/>
              <w:rPr>
                <w:rFonts w:eastAsia="Times New Roman" w:cs="Tahoma"/>
                <w:sz w:val="22"/>
                <w:szCs w:val="22"/>
                <w:lang w:eastAsia="es-CO"/>
              </w:rPr>
            </w:pPr>
            <w:r w:rsidRPr="000C5171">
              <w:rPr>
                <w:rFonts w:eastAsia="Times New Roman" w:cs="Tahoma"/>
                <w:sz w:val="22"/>
                <w:szCs w:val="22"/>
                <w:lang w:eastAsia="es-CO"/>
              </w:rPr>
              <w:t>Subdirección de Infraestructura y Hábitat</w:t>
            </w:r>
          </w:p>
        </w:tc>
      </w:tr>
      <w:tr w:rsidR="00DE3C06" w:rsidRPr="000C5171" w14:paraId="59F1BE6D" w14:textId="77777777" w:rsidTr="008A49D0">
        <w:trPr>
          <w:trHeight w:val="300"/>
          <w:jc w:val="center"/>
        </w:trPr>
        <w:tc>
          <w:tcPr>
            <w:tcW w:w="146" w:type="dxa"/>
            <w:tcBorders>
              <w:top w:val="nil"/>
              <w:left w:val="nil"/>
              <w:bottom w:val="nil"/>
              <w:right w:val="nil"/>
            </w:tcBorders>
            <w:vAlign w:val="bottom"/>
          </w:tcPr>
          <w:p w14:paraId="26CB1F2B" w14:textId="77777777" w:rsidR="00DE3C06" w:rsidRPr="000C5171" w:rsidRDefault="00DE3C06" w:rsidP="008A49D0">
            <w:pPr>
              <w:spacing w:after="0" w:line="276" w:lineRule="auto"/>
              <w:rPr>
                <w:rFonts w:eastAsia="Times New Roman" w:cs="Tahoma"/>
                <w:sz w:val="22"/>
                <w:szCs w:val="22"/>
                <w:lang w:eastAsia="es-CO"/>
              </w:rPr>
            </w:pPr>
          </w:p>
        </w:tc>
        <w:tc>
          <w:tcPr>
            <w:tcW w:w="7001" w:type="dxa"/>
            <w:tcBorders>
              <w:top w:val="nil"/>
              <w:left w:val="nil"/>
              <w:bottom w:val="nil"/>
              <w:right w:val="nil"/>
            </w:tcBorders>
            <w:noWrap/>
            <w:vAlign w:val="bottom"/>
            <w:hideMark/>
          </w:tcPr>
          <w:p w14:paraId="597789E3" w14:textId="77777777" w:rsidR="00DE3C06" w:rsidRPr="000C5171" w:rsidRDefault="00DE3C06" w:rsidP="008A49D0">
            <w:pPr>
              <w:spacing w:after="0" w:line="276" w:lineRule="auto"/>
              <w:rPr>
                <w:rFonts w:eastAsia="Times New Roman" w:cs="Tahoma"/>
                <w:sz w:val="22"/>
                <w:szCs w:val="22"/>
                <w:lang w:eastAsia="es-CO"/>
              </w:rPr>
            </w:pPr>
            <w:r w:rsidRPr="000C5171">
              <w:rPr>
                <w:rFonts w:eastAsia="Times New Roman" w:cs="Tahoma"/>
                <w:sz w:val="22"/>
                <w:szCs w:val="22"/>
                <w:lang w:eastAsia="es-CO"/>
              </w:rPr>
              <w:t>Subdirección de Ordenamiento y Desarrollo Sostenible</w:t>
            </w:r>
          </w:p>
        </w:tc>
      </w:tr>
      <w:tr w:rsidR="00DE3C06" w:rsidRPr="000C5171" w14:paraId="4AADC586" w14:textId="77777777" w:rsidTr="008A49D0">
        <w:trPr>
          <w:trHeight w:val="300"/>
          <w:jc w:val="center"/>
        </w:trPr>
        <w:tc>
          <w:tcPr>
            <w:tcW w:w="146" w:type="dxa"/>
            <w:tcBorders>
              <w:top w:val="nil"/>
              <w:left w:val="nil"/>
              <w:bottom w:val="nil"/>
              <w:right w:val="nil"/>
            </w:tcBorders>
            <w:vAlign w:val="bottom"/>
          </w:tcPr>
          <w:p w14:paraId="2A234A32" w14:textId="77777777" w:rsidR="00DE3C06" w:rsidRPr="000C5171" w:rsidRDefault="00DE3C06" w:rsidP="008A49D0">
            <w:pPr>
              <w:spacing w:after="0" w:line="276" w:lineRule="auto"/>
              <w:rPr>
                <w:rFonts w:eastAsia="Times New Roman" w:cs="Tahoma"/>
                <w:sz w:val="22"/>
                <w:szCs w:val="22"/>
                <w:lang w:eastAsia="es-CO"/>
              </w:rPr>
            </w:pPr>
          </w:p>
        </w:tc>
        <w:tc>
          <w:tcPr>
            <w:tcW w:w="7001" w:type="dxa"/>
            <w:tcBorders>
              <w:top w:val="nil"/>
              <w:left w:val="nil"/>
              <w:bottom w:val="nil"/>
              <w:right w:val="nil"/>
            </w:tcBorders>
            <w:noWrap/>
            <w:vAlign w:val="bottom"/>
            <w:hideMark/>
          </w:tcPr>
          <w:p w14:paraId="26E2178A" w14:textId="77777777" w:rsidR="00DE3C06" w:rsidRPr="000C5171" w:rsidRDefault="00DE3C06" w:rsidP="008A49D0">
            <w:pPr>
              <w:spacing w:after="0" w:line="276" w:lineRule="auto"/>
              <w:rPr>
                <w:rFonts w:eastAsia="Times New Roman" w:cs="Tahoma"/>
                <w:sz w:val="22"/>
                <w:szCs w:val="22"/>
                <w:lang w:eastAsia="es-CO"/>
              </w:rPr>
            </w:pPr>
            <w:r w:rsidRPr="000C5171">
              <w:rPr>
                <w:rFonts w:eastAsia="Times New Roman" w:cs="Tahoma"/>
                <w:sz w:val="22"/>
                <w:szCs w:val="22"/>
                <w:lang w:eastAsia="es-CO"/>
              </w:rPr>
              <w:t>Subdirección de Desarrollo Económico</w:t>
            </w:r>
          </w:p>
        </w:tc>
      </w:tr>
      <w:tr w:rsidR="00DE3C06" w:rsidRPr="000C5171" w14:paraId="53F912C6" w14:textId="77777777" w:rsidTr="008A49D0">
        <w:trPr>
          <w:trHeight w:val="300"/>
          <w:jc w:val="center"/>
        </w:trPr>
        <w:tc>
          <w:tcPr>
            <w:tcW w:w="146" w:type="dxa"/>
            <w:tcBorders>
              <w:top w:val="nil"/>
              <w:left w:val="nil"/>
              <w:bottom w:val="nil"/>
              <w:right w:val="nil"/>
            </w:tcBorders>
            <w:vAlign w:val="bottom"/>
          </w:tcPr>
          <w:p w14:paraId="077F8EF5" w14:textId="77777777" w:rsidR="00DE3C06" w:rsidRPr="000C5171" w:rsidRDefault="00DE3C06" w:rsidP="008A49D0">
            <w:pPr>
              <w:spacing w:after="0" w:line="276" w:lineRule="auto"/>
              <w:rPr>
                <w:rFonts w:eastAsia="Times New Roman" w:cs="Tahoma"/>
                <w:b/>
                <w:bCs/>
                <w:sz w:val="22"/>
                <w:szCs w:val="22"/>
                <w:lang w:eastAsia="es-CO"/>
              </w:rPr>
            </w:pPr>
          </w:p>
        </w:tc>
        <w:tc>
          <w:tcPr>
            <w:tcW w:w="7001" w:type="dxa"/>
            <w:tcBorders>
              <w:top w:val="nil"/>
              <w:left w:val="nil"/>
              <w:bottom w:val="nil"/>
              <w:right w:val="nil"/>
            </w:tcBorders>
            <w:noWrap/>
            <w:vAlign w:val="bottom"/>
            <w:hideMark/>
          </w:tcPr>
          <w:p w14:paraId="439C0859" w14:textId="77777777" w:rsidR="00DE3C06" w:rsidRPr="000C5171" w:rsidRDefault="00DE3C06" w:rsidP="008A49D0">
            <w:pPr>
              <w:spacing w:after="0" w:line="276" w:lineRule="auto"/>
              <w:rPr>
                <w:rFonts w:eastAsia="Times New Roman" w:cs="Tahoma"/>
                <w:b/>
                <w:bCs/>
                <w:sz w:val="22"/>
                <w:szCs w:val="22"/>
                <w:lang w:eastAsia="es-CO"/>
              </w:rPr>
            </w:pPr>
            <w:r w:rsidRPr="000C5171">
              <w:rPr>
                <w:rFonts w:eastAsia="Times New Roman" w:cs="Tahoma"/>
                <w:b/>
                <w:bCs/>
                <w:sz w:val="22"/>
                <w:szCs w:val="22"/>
                <w:lang w:eastAsia="es-CO"/>
              </w:rPr>
              <w:t>DIRECCIÓN DE INFORMACIÓN Y PROSPECTIVA</w:t>
            </w:r>
          </w:p>
        </w:tc>
      </w:tr>
      <w:tr w:rsidR="00DE3C06" w:rsidRPr="000C5171" w14:paraId="23BA85DD" w14:textId="77777777" w:rsidTr="008A49D0">
        <w:trPr>
          <w:trHeight w:val="300"/>
          <w:jc w:val="center"/>
        </w:trPr>
        <w:tc>
          <w:tcPr>
            <w:tcW w:w="146" w:type="dxa"/>
            <w:tcBorders>
              <w:top w:val="nil"/>
              <w:left w:val="nil"/>
              <w:bottom w:val="nil"/>
              <w:right w:val="nil"/>
            </w:tcBorders>
            <w:vAlign w:val="bottom"/>
          </w:tcPr>
          <w:p w14:paraId="15522AF8" w14:textId="77777777" w:rsidR="00DE3C06" w:rsidRPr="000C5171" w:rsidRDefault="00DE3C06" w:rsidP="008A49D0">
            <w:pPr>
              <w:spacing w:after="0" w:line="276" w:lineRule="auto"/>
              <w:rPr>
                <w:rFonts w:eastAsia="Times New Roman" w:cs="Tahoma"/>
                <w:sz w:val="22"/>
                <w:szCs w:val="22"/>
                <w:lang w:eastAsia="es-CO"/>
              </w:rPr>
            </w:pPr>
          </w:p>
        </w:tc>
        <w:tc>
          <w:tcPr>
            <w:tcW w:w="7001" w:type="dxa"/>
            <w:tcBorders>
              <w:top w:val="nil"/>
              <w:left w:val="nil"/>
              <w:bottom w:val="nil"/>
              <w:right w:val="nil"/>
            </w:tcBorders>
            <w:noWrap/>
            <w:vAlign w:val="bottom"/>
            <w:hideMark/>
          </w:tcPr>
          <w:p w14:paraId="0C473B4C" w14:textId="77777777" w:rsidR="00DE3C06" w:rsidRPr="000C5171" w:rsidRDefault="00DE3C06" w:rsidP="008A49D0">
            <w:pPr>
              <w:spacing w:after="0" w:line="276" w:lineRule="auto"/>
              <w:rPr>
                <w:rFonts w:eastAsia="Times New Roman" w:cs="Tahoma"/>
                <w:sz w:val="22"/>
                <w:szCs w:val="22"/>
                <w:lang w:eastAsia="es-CO"/>
              </w:rPr>
            </w:pPr>
            <w:r w:rsidRPr="000C5171">
              <w:rPr>
                <w:rFonts w:eastAsia="Times New Roman" w:cs="Tahoma"/>
                <w:sz w:val="22"/>
                <w:szCs w:val="22"/>
                <w:lang w:eastAsia="es-CO"/>
              </w:rPr>
              <w:t>Subdirección de Gestión de la Información</w:t>
            </w:r>
          </w:p>
        </w:tc>
      </w:tr>
      <w:tr w:rsidR="00DE3C06" w:rsidRPr="000C5171" w14:paraId="43D0196C" w14:textId="77777777" w:rsidTr="008A49D0">
        <w:trPr>
          <w:trHeight w:val="300"/>
          <w:jc w:val="center"/>
        </w:trPr>
        <w:tc>
          <w:tcPr>
            <w:tcW w:w="146" w:type="dxa"/>
            <w:tcBorders>
              <w:top w:val="nil"/>
              <w:left w:val="nil"/>
              <w:bottom w:val="nil"/>
              <w:right w:val="nil"/>
            </w:tcBorders>
            <w:vAlign w:val="bottom"/>
          </w:tcPr>
          <w:p w14:paraId="45AE2C0D" w14:textId="77777777" w:rsidR="00DE3C06" w:rsidRPr="000C5171" w:rsidRDefault="00DE3C06" w:rsidP="008A49D0">
            <w:pPr>
              <w:spacing w:after="0" w:line="276" w:lineRule="auto"/>
              <w:rPr>
                <w:rFonts w:eastAsia="Times New Roman" w:cs="Tahoma"/>
                <w:sz w:val="22"/>
                <w:szCs w:val="22"/>
                <w:lang w:eastAsia="es-CO"/>
              </w:rPr>
            </w:pPr>
          </w:p>
        </w:tc>
        <w:tc>
          <w:tcPr>
            <w:tcW w:w="7001" w:type="dxa"/>
            <w:tcBorders>
              <w:top w:val="nil"/>
              <w:left w:val="nil"/>
              <w:bottom w:val="nil"/>
              <w:right w:val="nil"/>
            </w:tcBorders>
            <w:noWrap/>
            <w:vAlign w:val="bottom"/>
            <w:hideMark/>
          </w:tcPr>
          <w:p w14:paraId="45DCD47A" w14:textId="77777777" w:rsidR="00DE3C06" w:rsidRPr="000C5171" w:rsidRDefault="00DE3C06" w:rsidP="008A49D0">
            <w:pPr>
              <w:spacing w:after="0" w:line="276" w:lineRule="auto"/>
              <w:rPr>
                <w:rFonts w:eastAsia="Times New Roman" w:cs="Tahoma"/>
                <w:sz w:val="22"/>
                <w:szCs w:val="22"/>
                <w:lang w:eastAsia="es-CO"/>
              </w:rPr>
            </w:pPr>
            <w:r w:rsidRPr="000C5171">
              <w:rPr>
                <w:rFonts w:eastAsia="Times New Roman" w:cs="Tahoma"/>
                <w:sz w:val="22"/>
                <w:szCs w:val="22"/>
                <w:lang w:eastAsia="es-CO"/>
              </w:rPr>
              <w:t>Subdirección de Análisis y Monitoreo</w:t>
            </w:r>
          </w:p>
        </w:tc>
      </w:tr>
      <w:tr w:rsidR="00DE3C06" w:rsidRPr="000C5171" w14:paraId="762BBFED" w14:textId="77777777" w:rsidTr="008A49D0">
        <w:trPr>
          <w:trHeight w:val="300"/>
          <w:jc w:val="center"/>
        </w:trPr>
        <w:tc>
          <w:tcPr>
            <w:tcW w:w="146" w:type="dxa"/>
            <w:tcBorders>
              <w:top w:val="nil"/>
              <w:left w:val="nil"/>
              <w:bottom w:val="nil"/>
              <w:right w:val="nil"/>
            </w:tcBorders>
            <w:vAlign w:val="bottom"/>
          </w:tcPr>
          <w:p w14:paraId="216C1A8E" w14:textId="77777777" w:rsidR="00DE3C06" w:rsidRPr="000C5171" w:rsidRDefault="00DE3C06" w:rsidP="008A49D0">
            <w:pPr>
              <w:spacing w:after="0" w:line="276" w:lineRule="auto"/>
              <w:rPr>
                <w:rFonts w:eastAsia="Times New Roman" w:cs="Tahoma"/>
                <w:sz w:val="22"/>
                <w:szCs w:val="22"/>
                <w:lang w:eastAsia="es-CO"/>
              </w:rPr>
            </w:pPr>
          </w:p>
        </w:tc>
        <w:tc>
          <w:tcPr>
            <w:tcW w:w="7001" w:type="dxa"/>
            <w:tcBorders>
              <w:top w:val="nil"/>
              <w:left w:val="nil"/>
              <w:bottom w:val="nil"/>
              <w:right w:val="nil"/>
            </w:tcBorders>
            <w:noWrap/>
            <w:vAlign w:val="bottom"/>
          </w:tcPr>
          <w:p w14:paraId="4B4376A7" w14:textId="77777777" w:rsidR="00DE3C06" w:rsidRPr="000C5171" w:rsidRDefault="00DE3C06" w:rsidP="008A49D0">
            <w:pPr>
              <w:spacing w:after="0" w:line="276" w:lineRule="auto"/>
              <w:rPr>
                <w:rFonts w:eastAsia="Times New Roman" w:cs="Tahoma"/>
                <w:sz w:val="22"/>
                <w:szCs w:val="22"/>
                <w:lang w:eastAsia="es-CO"/>
              </w:rPr>
            </w:pPr>
            <w:r w:rsidRPr="000C5171">
              <w:rPr>
                <w:rFonts w:eastAsia="Times New Roman" w:cs="Tahoma"/>
                <w:b/>
                <w:bCs/>
                <w:sz w:val="22"/>
                <w:szCs w:val="22"/>
                <w:lang w:eastAsia="es-CO"/>
              </w:rPr>
              <w:t>DIRECCIÓN DE SUSTITUCIÓN DE CULTIVOS DE USO ILÍCITO</w:t>
            </w:r>
          </w:p>
        </w:tc>
      </w:tr>
    </w:tbl>
    <w:p w14:paraId="076EF072" w14:textId="77777777" w:rsidR="00DE3C06" w:rsidRPr="000C5171" w:rsidRDefault="00DE3C06" w:rsidP="00DE3C06">
      <w:pPr>
        <w:shd w:val="clear" w:color="auto" w:fill="FFFFFF"/>
        <w:spacing w:after="0" w:line="276" w:lineRule="auto"/>
        <w:jc w:val="both"/>
        <w:rPr>
          <w:rFonts w:eastAsia="Times New Roman" w:cs="Tahoma"/>
          <w:b/>
          <w:bCs/>
          <w:sz w:val="22"/>
          <w:szCs w:val="22"/>
        </w:rPr>
      </w:pPr>
    </w:p>
    <w:p w14:paraId="460AF6F1" w14:textId="77777777" w:rsidR="00DE3C06" w:rsidRPr="000C5171" w:rsidRDefault="00DE3C06" w:rsidP="00DE3C06">
      <w:pPr>
        <w:shd w:val="clear" w:color="auto" w:fill="FFFFFF"/>
        <w:spacing w:after="0" w:line="276" w:lineRule="auto"/>
        <w:jc w:val="both"/>
        <w:rPr>
          <w:rFonts w:eastAsia="Times New Roman" w:cs="Tahoma"/>
          <w:b/>
          <w:bCs/>
          <w:sz w:val="22"/>
          <w:szCs w:val="22"/>
        </w:rPr>
      </w:pPr>
      <w:r w:rsidRPr="000C5171">
        <w:rPr>
          <w:rFonts w:eastAsia="Times New Roman" w:cs="Tahoma"/>
          <w:b/>
          <w:bCs/>
          <w:sz w:val="22"/>
          <w:szCs w:val="22"/>
        </w:rPr>
        <w:t>Componentes Clave de la Estructura de la ART:</w:t>
      </w:r>
    </w:p>
    <w:p w14:paraId="2DB057DD" w14:textId="77777777" w:rsidR="00DE3C06" w:rsidRPr="000C5171" w:rsidRDefault="00DE3C06" w:rsidP="00DE3C06">
      <w:pPr>
        <w:shd w:val="clear" w:color="auto" w:fill="FFFFFF"/>
        <w:spacing w:after="0" w:line="276" w:lineRule="auto"/>
        <w:jc w:val="both"/>
        <w:rPr>
          <w:rFonts w:eastAsia="Times New Roman" w:cs="Tahoma"/>
          <w:b/>
          <w:bCs/>
          <w:sz w:val="22"/>
          <w:szCs w:val="22"/>
        </w:rPr>
      </w:pPr>
    </w:p>
    <w:p w14:paraId="61278ABB" w14:textId="77777777" w:rsidR="00DE3C06" w:rsidRPr="000C5171" w:rsidRDefault="00DE3C06">
      <w:pPr>
        <w:numPr>
          <w:ilvl w:val="0"/>
          <w:numId w:val="15"/>
        </w:numPr>
        <w:shd w:val="clear" w:color="auto" w:fill="FFFFFF" w:themeFill="background1"/>
        <w:spacing w:after="180" w:line="276" w:lineRule="auto"/>
        <w:jc w:val="both"/>
        <w:rPr>
          <w:rFonts w:eastAsia="Arial" w:cs="Tahoma"/>
          <w:color w:val="000000" w:themeColor="text1"/>
          <w:sz w:val="22"/>
          <w:szCs w:val="22"/>
          <w:lang w:val="es"/>
        </w:rPr>
      </w:pPr>
      <w:r w:rsidRPr="000C5171">
        <w:rPr>
          <w:rFonts w:eastAsia="Times New Roman" w:cs="Tahoma"/>
          <w:b/>
          <w:bCs/>
          <w:sz w:val="22"/>
          <w:szCs w:val="22"/>
        </w:rPr>
        <w:t>Nivel Directivo:</w:t>
      </w:r>
      <w:r w:rsidRPr="000C5171">
        <w:rPr>
          <w:rFonts w:eastAsia="Times New Roman" w:cs="Tahoma"/>
          <w:sz w:val="22"/>
          <w:szCs w:val="22"/>
        </w:rPr>
        <w:t> </w:t>
      </w:r>
      <w:r w:rsidRPr="000C5171">
        <w:rPr>
          <w:rFonts w:eastAsia="Arial" w:cs="Tahoma"/>
          <w:color w:val="000000" w:themeColor="text1"/>
          <w:sz w:val="22"/>
          <w:szCs w:val="22"/>
          <w:lang w:val="es"/>
        </w:rPr>
        <w:t>Comprende en primera instancia al Consejo directivo (Órgano de Administración), integrado por ministros, directores de departamentos administrativos y miembros designados por el Gobierno nacional</w:t>
      </w:r>
      <w:r w:rsidRPr="000C5171">
        <w:rPr>
          <w:rStyle w:val="Refdenotaalpie"/>
          <w:rFonts w:eastAsia="Arial" w:cs="Tahoma"/>
          <w:color w:val="000000" w:themeColor="text1"/>
          <w:sz w:val="22"/>
          <w:szCs w:val="22"/>
          <w:lang w:val="es"/>
        </w:rPr>
        <w:footnoteReference w:id="8"/>
      </w:r>
      <w:r w:rsidRPr="000C5171">
        <w:rPr>
          <w:rFonts w:eastAsia="Arial" w:cs="Tahoma"/>
          <w:color w:val="000000" w:themeColor="text1"/>
          <w:sz w:val="22"/>
          <w:szCs w:val="22"/>
          <w:lang w:val="es"/>
        </w:rPr>
        <w:t xml:space="preserve">; y la Dirección General como </w:t>
      </w:r>
      <w:r w:rsidRPr="000C5171">
        <w:rPr>
          <w:rFonts w:eastAsia="Arial" w:cs="Tahoma"/>
          <w:color w:val="000000" w:themeColor="text1"/>
          <w:sz w:val="22"/>
          <w:szCs w:val="22"/>
          <w:lang w:val="es"/>
        </w:rPr>
        <w:lastRenderedPageBreak/>
        <w:t>representante Legal, encargada de la orientación estratégica y el cumplimiento de las metas de los PDET.</w:t>
      </w:r>
    </w:p>
    <w:p w14:paraId="450212C8" w14:textId="77777777" w:rsidR="00DE3C06" w:rsidRPr="000C5171" w:rsidRDefault="00DE3C06">
      <w:pPr>
        <w:numPr>
          <w:ilvl w:val="0"/>
          <w:numId w:val="15"/>
        </w:numPr>
        <w:shd w:val="clear" w:color="auto" w:fill="FFFFFF"/>
        <w:spacing w:after="180" w:line="276" w:lineRule="auto"/>
        <w:jc w:val="both"/>
        <w:rPr>
          <w:rFonts w:eastAsia="Times New Roman" w:cs="Tahoma"/>
          <w:sz w:val="22"/>
          <w:szCs w:val="22"/>
        </w:rPr>
      </w:pPr>
      <w:r w:rsidRPr="000C5171">
        <w:rPr>
          <w:rFonts w:eastAsia="Times New Roman" w:cs="Tahoma"/>
          <w:b/>
          <w:bCs/>
          <w:sz w:val="22"/>
          <w:szCs w:val="22"/>
        </w:rPr>
        <w:t>Oficinas Asesoras:</w:t>
      </w:r>
      <w:r w:rsidRPr="000C5171">
        <w:rPr>
          <w:rFonts w:eastAsia="Times New Roman" w:cs="Tahoma"/>
          <w:sz w:val="22"/>
          <w:szCs w:val="22"/>
        </w:rPr>
        <w:t> Áreas encargadas de Planeación, Jurídica, Comunicaciones y Control Interno, fundamentales para la gestión institucional.</w:t>
      </w:r>
    </w:p>
    <w:p w14:paraId="7B975D3E" w14:textId="77777777" w:rsidR="00DE3C06" w:rsidRPr="000C5171" w:rsidRDefault="00DE3C06">
      <w:pPr>
        <w:numPr>
          <w:ilvl w:val="0"/>
          <w:numId w:val="15"/>
        </w:numPr>
        <w:shd w:val="clear" w:color="auto" w:fill="FFFFFF"/>
        <w:spacing w:after="180" w:line="276" w:lineRule="auto"/>
        <w:jc w:val="both"/>
        <w:rPr>
          <w:rFonts w:eastAsia="Times New Roman" w:cs="Tahoma"/>
          <w:sz w:val="22"/>
          <w:szCs w:val="22"/>
        </w:rPr>
      </w:pPr>
      <w:r w:rsidRPr="000C5171">
        <w:rPr>
          <w:rFonts w:eastAsia="Times New Roman" w:cs="Tahoma"/>
          <w:b/>
          <w:bCs/>
          <w:sz w:val="22"/>
          <w:szCs w:val="22"/>
        </w:rPr>
        <w:t>Direcciones Técnicas:</w:t>
      </w:r>
      <w:r w:rsidRPr="000C5171">
        <w:rPr>
          <w:rFonts w:eastAsia="Times New Roman" w:cs="Tahoma"/>
          <w:sz w:val="22"/>
          <w:szCs w:val="22"/>
        </w:rPr>
        <w:t xml:space="preserve"> Unidades especializadas en la estructuración, gestión y/o seguimiento de proyectos de infraestructura, gestión de la inversión productiva, fortalecimiento territorial, así como para </w:t>
      </w:r>
      <w:proofErr w:type="spellStart"/>
      <w:r w:rsidRPr="000C5171">
        <w:rPr>
          <w:rFonts w:eastAsia="Times New Roman" w:cs="Tahoma"/>
          <w:sz w:val="22"/>
          <w:szCs w:val="22"/>
        </w:rPr>
        <w:t>al</w:t>
      </w:r>
      <w:proofErr w:type="spellEnd"/>
      <w:r w:rsidRPr="000C5171">
        <w:rPr>
          <w:rFonts w:eastAsia="Times New Roman" w:cs="Tahoma"/>
          <w:sz w:val="22"/>
          <w:szCs w:val="22"/>
        </w:rPr>
        <w:t xml:space="preserve"> información y prospectiva.</w:t>
      </w:r>
    </w:p>
    <w:p w14:paraId="78E10483" w14:textId="77777777" w:rsidR="00DE3C06" w:rsidRPr="000C5171" w:rsidRDefault="00DE3C06">
      <w:pPr>
        <w:numPr>
          <w:ilvl w:val="0"/>
          <w:numId w:val="15"/>
        </w:numPr>
        <w:shd w:val="clear" w:color="auto" w:fill="FFFFFF"/>
        <w:spacing w:after="180" w:line="276" w:lineRule="auto"/>
        <w:jc w:val="both"/>
        <w:rPr>
          <w:rFonts w:eastAsia="Times New Roman" w:cs="Tahoma"/>
          <w:sz w:val="22"/>
          <w:szCs w:val="22"/>
        </w:rPr>
      </w:pPr>
      <w:r w:rsidRPr="000C5171">
        <w:rPr>
          <w:rFonts w:eastAsia="Times New Roman" w:cs="Tahoma"/>
          <w:b/>
          <w:bCs/>
          <w:sz w:val="22"/>
          <w:szCs w:val="22"/>
        </w:rPr>
        <w:t>Equipos Subregionales:</w:t>
      </w:r>
      <w:r w:rsidRPr="000C5171">
        <w:rPr>
          <w:rFonts w:eastAsia="Times New Roman" w:cs="Tahoma"/>
          <w:sz w:val="22"/>
          <w:szCs w:val="22"/>
        </w:rPr>
        <w:t> Representan a la entidad en las zonas de mayor afectación por el conflicto, garantizando la implementación local de los PDET y la coordinación con comunidades y entidades territoriales. </w:t>
      </w:r>
    </w:p>
    <w:p w14:paraId="6B77127E" w14:textId="77777777" w:rsidR="00DE3C06" w:rsidRPr="000C5171" w:rsidRDefault="00DE3C06">
      <w:pPr>
        <w:numPr>
          <w:ilvl w:val="0"/>
          <w:numId w:val="15"/>
        </w:numPr>
        <w:shd w:val="clear" w:color="auto" w:fill="FFFFFF"/>
        <w:spacing w:after="180" w:line="276" w:lineRule="auto"/>
        <w:jc w:val="both"/>
        <w:rPr>
          <w:rFonts w:eastAsia="Times New Roman" w:cs="Tahoma"/>
          <w:sz w:val="22"/>
          <w:szCs w:val="22"/>
        </w:rPr>
      </w:pPr>
      <w:r w:rsidRPr="000C5171">
        <w:rPr>
          <w:rFonts w:eastAsia="Times New Roman" w:cs="Tahoma"/>
          <w:b/>
          <w:bCs/>
          <w:sz w:val="22"/>
          <w:szCs w:val="22"/>
        </w:rPr>
        <w:t xml:space="preserve">Dependencia (J) Dirección de Sustitución de Cultivos de Uso Ilícito (DSCUI): </w:t>
      </w:r>
      <w:r w:rsidRPr="000C5171">
        <w:rPr>
          <w:rFonts w:eastAsia="Times New Roman" w:cs="Tahoma"/>
          <w:sz w:val="22"/>
          <w:szCs w:val="22"/>
        </w:rPr>
        <w:t xml:space="preserve">Cuenta con autonomía administrativa y financiera; 1 </w:t>
      </w:r>
      <w:proofErr w:type="gramStart"/>
      <w:r w:rsidRPr="000C5171">
        <w:rPr>
          <w:rFonts w:eastAsia="Times New Roman" w:cs="Tahoma"/>
          <w:sz w:val="22"/>
          <w:szCs w:val="22"/>
        </w:rPr>
        <w:t>Directora</w:t>
      </w:r>
      <w:proofErr w:type="gramEnd"/>
      <w:r w:rsidRPr="000C5171">
        <w:rPr>
          <w:rFonts w:eastAsia="Times New Roman" w:cs="Tahoma"/>
          <w:sz w:val="22"/>
          <w:szCs w:val="22"/>
        </w:rPr>
        <w:t xml:space="preserve"> técnica. En las siglas también se menciona como “DSCI”.</w:t>
      </w:r>
    </w:p>
    <w:p w14:paraId="520D642F" w14:textId="77777777" w:rsidR="00DE3C06" w:rsidRPr="000C5171" w:rsidRDefault="00DE3C06" w:rsidP="00DE3C06">
      <w:pPr>
        <w:spacing w:after="0" w:line="276" w:lineRule="auto"/>
        <w:jc w:val="both"/>
        <w:rPr>
          <w:rFonts w:cs="Tahoma"/>
          <w:sz w:val="22"/>
          <w:szCs w:val="22"/>
        </w:rPr>
      </w:pPr>
      <w:r w:rsidRPr="000C5171">
        <w:rPr>
          <w:rFonts w:eastAsia="Arial" w:cs="Tahoma"/>
          <w:sz w:val="22"/>
          <w:szCs w:val="22"/>
        </w:rPr>
        <w:t xml:space="preserve">Así pues, </w:t>
      </w:r>
      <w:bookmarkStart w:id="6" w:name="_Hlk231459056"/>
      <w:r w:rsidRPr="000C5171">
        <w:rPr>
          <w:rFonts w:eastAsia="Arial" w:cs="Tahoma"/>
          <w:sz w:val="22"/>
          <w:szCs w:val="22"/>
        </w:rPr>
        <w:t>es relevante resaltar que la estructura orgánica en este periodo no ha sido modificada</w:t>
      </w:r>
      <w:r w:rsidRPr="000C5171">
        <w:rPr>
          <w:rStyle w:val="Refdenotaalpie"/>
          <w:rFonts w:eastAsia="Arial" w:cs="Tahoma"/>
          <w:sz w:val="22"/>
          <w:szCs w:val="22"/>
        </w:rPr>
        <w:footnoteReference w:id="9"/>
      </w:r>
      <w:r w:rsidRPr="000C5171">
        <w:rPr>
          <w:rFonts w:eastAsia="Arial" w:cs="Tahoma"/>
          <w:sz w:val="22"/>
          <w:szCs w:val="22"/>
        </w:rPr>
        <w:t>, no obstante en uso de la facultad de la dirección general de crear y organizar Grupos Internos de Trabajo</w:t>
      </w:r>
      <w:r w:rsidRPr="000C5171">
        <w:rPr>
          <w:rStyle w:val="Refdenotaalpie"/>
          <w:rFonts w:eastAsia="Arial" w:cs="Tahoma"/>
          <w:sz w:val="22"/>
          <w:szCs w:val="22"/>
        </w:rPr>
        <w:footnoteReference w:id="10"/>
      </w:r>
      <w:r w:rsidRPr="000C5171">
        <w:rPr>
          <w:rFonts w:eastAsia="Arial" w:cs="Tahoma"/>
          <w:sz w:val="22"/>
          <w:szCs w:val="22"/>
        </w:rPr>
        <w:t xml:space="preserve"> (GIT) para facilitar la operación institucional, se resaltan logros en el periodo de gestión, como la creación / modificación de algunos grupos de trabajo de orden territorial y de secretaría general, con el fin de atender las necesidades del servicio y cumplir con eficacia y eficiencia los objetivos, políticas y programas, se han creado Grupos Internos</w:t>
      </w:r>
      <w:r w:rsidRPr="000C5171">
        <w:rPr>
          <w:rFonts w:cs="Tahoma"/>
          <w:sz w:val="22"/>
          <w:szCs w:val="22"/>
        </w:rPr>
        <w:t xml:space="preserve"> de Tra</w:t>
      </w:r>
      <w:r w:rsidRPr="000C5171">
        <w:rPr>
          <w:rFonts w:cs="Tahoma"/>
          <w:sz w:val="22"/>
          <w:szCs w:val="22"/>
        </w:rPr>
        <w:softHyphen/>
        <w:t xml:space="preserve">bajo - GIT, tanto a nivel central como a nivel regional. </w:t>
      </w:r>
    </w:p>
    <w:p w14:paraId="66C93504" w14:textId="77777777" w:rsidR="00DE3C06" w:rsidRPr="000C5171" w:rsidRDefault="00DE3C06" w:rsidP="00DE3C06">
      <w:pPr>
        <w:spacing w:after="0" w:line="276" w:lineRule="auto"/>
        <w:jc w:val="both"/>
        <w:rPr>
          <w:rFonts w:cs="Tahoma"/>
          <w:sz w:val="22"/>
          <w:szCs w:val="22"/>
        </w:rPr>
      </w:pPr>
    </w:p>
    <w:p w14:paraId="5003C167" w14:textId="77777777" w:rsidR="00DE3C06" w:rsidRPr="000C5171" w:rsidRDefault="00DE3C06">
      <w:pPr>
        <w:pStyle w:val="Ttulo1"/>
        <w:numPr>
          <w:ilvl w:val="0"/>
          <w:numId w:val="2"/>
        </w:numPr>
        <w:spacing w:line="276" w:lineRule="auto"/>
        <w:ind w:left="426"/>
        <w:rPr>
          <w:rFonts w:cs="Tahoma"/>
        </w:rPr>
      </w:pPr>
      <w:bookmarkStart w:id="7" w:name="_Toc234168075"/>
      <w:bookmarkEnd w:id="6"/>
      <w:r w:rsidRPr="000C5171">
        <w:rPr>
          <w:rFonts w:cs="Tahoma"/>
        </w:rPr>
        <w:t>NORMATIVIDAD</w:t>
      </w:r>
      <w:bookmarkEnd w:id="7"/>
      <w:r w:rsidRPr="000C5171">
        <w:rPr>
          <w:rFonts w:cs="Tahoma"/>
        </w:rPr>
        <w:tab/>
      </w:r>
      <w:r w:rsidRPr="000C5171">
        <w:rPr>
          <w:rFonts w:cs="Tahoma"/>
        </w:rPr>
        <w:tab/>
      </w:r>
    </w:p>
    <w:p w14:paraId="3B1F7C49" w14:textId="77777777" w:rsidR="00DE3C06" w:rsidRPr="000C5171" w:rsidRDefault="00DE3C06" w:rsidP="00DE3C06">
      <w:pPr>
        <w:spacing w:line="276" w:lineRule="auto"/>
        <w:jc w:val="both"/>
        <w:rPr>
          <w:rFonts w:eastAsia="Arial" w:cs="Tahoma"/>
          <w:sz w:val="22"/>
          <w:szCs w:val="22"/>
        </w:rPr>
      </w:pPr>
      <w:r w:rsidRPr="000C5171">
        <w:rPr>
          <w:rFonts w:eastAsia="Arial" w:cs="Tahoma"/>
          <w:sz w:val="22"/>
          <w:szCs w:val="22"/>
        </w:rPr>
        <w:t xml:space="preserve">En el </w:t>
      </w:r>
      <w:r w:rsidRPr="000C5171">
        <w:rPr>
          <w:rFonts w:cs="Tahoma"/>
          <w:b/>
          <w:bCs/>
          <w:sz w:val="22"/>
          <w:szCs w:val="22"/>
        </w:rPr>
        <w:t>ANEXO 3.</w:t>
      </w:r>
      <w:r w:rsidRPr="000C5171">
        <w:rPr>
          <w:rFonts w:cs="Tahoma"/>
          <w:sz w:val="22"/>
          <w:szCs w:val="22"/>
        </w:rPr>
        <w:t xml:space="preserve"> Normatividad, se presentan decretos Ley y resoluciones contemplando</w:t>
      </w:r>
      <w:r w:rsidRPr="000C5171">
        <w:rPr>
          <w:rFonts w:eastAsia="Arial" w:cs="Tahoma"/>
          <w:sz w:val="22"/>
          <w:szCs w:val="22"/>
        </w:rPr>
        <w:t xml:space="preserve"> tres ejes principales:</w:t>
      </w:r>
    </w:p>
    <w:p w14:paraId="41EFDDA0" w14:textId="77777777" w:rsidR="00DE3C06" w:rsidRPr="000C5171" w:rsidRDefault="00DE3C06">
      <w:pPr>
        <w:pStyle w:val="Prrafodelista"/>
        <w:numPr>
          <w:ilvl w:val="0"/>
          <w:numId w:val="23"/>
        </w:numPr>
        <w:spacing w:after="0"/>
        <w:rPr>
          <w:rFonts w:eastAsia="Arial" w:cs="Tahoma"/>
          <w:sz w:val="22"/>
          <w:szCs w:val="22"/>
        </w:rPr>
      </w:pPr>
      <w:r w:rsidRPr="000C5171">
        <w:rPr>
          <w:rFonts w:eastAsia="Arial" w:cs="Tahoma"/>
          <w:sz w:val="22"/>
          <w:szCs w:val="22"/>
        </w:rPr>
        <w:t>Institucionalidad y permanencia: Se establece la creación y evolución de la ART, los PDET y la continuidad de estos a largo plazo (prorrogados hasta 2037 mediante la Ley 2565 de 2026).</w:t>
      </w:r>
    </w:p>
    <w:p w14:paraId="2A162C8D" w14:textId="77777777" w:rsidR="00DE3C06" w:rsidRPr="000C5171" w:rsidRDefault="00DE3C06">
      <w:pPr>
        <w:numPr>
          <w:ilvl w:val="0"/>
          <w:numId w:val="23"/>
        </w:numPr>
        <w:spacing w:before="100" w:beforeAutospacing="1" w:after="0" w:line="276" w:lineRule="auto"/>
        <w:jc w:val="both"/>
        <w:rPr>
          <w:rFonts w:eastAsia="Arial" w:cs="Tahoma"/>
          <w:sz w:val="22"/>
          <w:szCs w:val="22"/>
        </w:rPr>
      </w:pPr>
      <w:r w:rsidRPr="000C5171">
        <w:rPr>
          <w:rFonts w:eastAsia="Arial" w:cs="Tahoma"/>
          <w:sz w:val="22"/>
          <w:szCs w:val="22"/>
        </w:rPr>
        <w:lastRenderedPageBreak/>
        <w:t xml:space="preserve">Financiación y proyectos: Regula el funcionamiento del Órgano Colegiado de Administración y Decisión OCAD </w:t>
      </w:r>
      <w:proofErr w:type="gramStart"/>
      <w:r w:rsidRPr="000C5171">
        <w:rPr>
          <w:rFonts w:eastAsia="Arial" w:cs="Tahoma"/>
          <w:sz w:val="22"/>
          <w:szCs w:val="22"/>
        </w:rPr>
        <w:t>PAZ,  la</w:t>
      </w:r>
      <w:proofErr w:type="gramEnd"/>
      <w:r w:rsidRPr="000C5171">
        <w:rPr>
          <w:rFonts w:eastAsia="Arial" w:cs="Tahoma"/>
          <w:sz w:val="22"/>
          <w:szCs w:val="22"/>
        </w:rPr>
        <w:t xml:space="preserve"> Asignación para la Paz y el mecanismo de Obras por Impuestos. Gran parte de las resoluciones recientes (2024-2026) se centran en los requisitos para obtener la Certificación de Concordancia, que asegura que los proyectos de inversión coincidan con las necesidades reales de las regiones PATR.</w:t>
      </w:r>
    </w:p>
    <w:p w14:paraId="2FB7E681" w14:textId="77777777" w:rsidR="00DE3C06" w:rsidRPr="000C5171" w:rsidRDefault="00DE3C06">
      <w:pPr>
        <w:numPr>
          <w:ilvl w:val="0"/>
          <w:numId w:val="23"/>
        </w:numPr>
        <w:spacing w:before="100" w:beforeAutospacing="1" w:after="100" w:afterAutospacing="1" w:line="276" w:lineRule="auto"/>
        <w:jc w:val="both"/>
        <w:rPr>
          <w:rFonts w:eastAsia="Arial" w:cs="Tahoma"/>
          <w:sz w:val="22"/>
          <w:szCs w:val="22"/>
        </w:rPr>
      </w:pPr>
      <w:r w:rsidRPr="000C5171">
        <w:rPr>
          <w:rFonts w:eastAsia="Arial" w:cs="Tahoma"/>
          <w:sz w:val="22"/>
          <w:szCs w:val="22"/>
        </w:rPr>
        <w:t>Participación y territorio: Define las reglas para la garantía de la participación de comunidades étnicas y mesas comunitarias en la vigilancia y ejecución de los planes en subregiones críticas como el Catatumbo y Macarena-Guaviare.</w:t>
      </w:r>
    </w:p>
    <w:p w14:paraId="3D12AF11" w14:textId="77777777" w:rsidR="00DE3C06" w:rsidRPr="000C5171" w:rsidRDefault="00DE3C06" w:rsidP="00DE3C06">
      <w:pPr>
        <w:spacing w:before="100" w:beforeAutospacing="1" w:after="100" w:afterAutospacing="1" w:line="276" w:lineRule="auto"/>
        <w:ind w:left="284"/>
        <w:jc w:val="both"/>
        <w:rPr>
          <w:rFonts w:eastAsia="Arial" w:cs="Tahoma"/>
          <w:sz w:val="22"/>
          <w:szCs w:val="22"/>
        </w:rPr>
      </w:pPr>
      <w:r w:rsidRPr="000C5171">
        <w:rPr>
          <w:rFonts w:eastAsia="Arial" w:cs="Tahoma"/>
          <w:sz w:val="22"/>
          <w:szCs w:val="22"/>
        </w:rPr>
        <w:t xml:space="preserve">Cabe resaltar que la entidad cuenta con la información normativa en el siguiente enlace de transparencia de la página web institucional, la cual se puede consultar en el siguiente </w:t>
      </w:r>
      <w:proofErr w:type="gramStart"/>
      <w:r w:rsidRPr="000C5171">
        <w:rPr>
          <w:rFonts w:eastAsia="Arial" w:cs="Tahoma"/>
          <w:sz w:val="22"/>
          <w:szCs w:val="22"/>
        </w:rPr>
        <w:t>link</w:t>
      </w:r>
      <w:proofErr w:type="gramEnd"/>
      <w:r w:rsidRPr="000C5171">
        <w:rPr>
          <w:rFonts w:eastAsia="Arial" w:cs="Tahoma"/>
          <w:sz w:val="22"/>
          <w:szCs w:val="22"/>
        </w:rPr>
        <w:t xml:space="preserve">: </w:t>
      </w:r>
      <w:hyperlink r:id="rId11" w:history="1">
        <w:r w:rsidRPr="000C5171">
          <w:rPr>
            <w:rStyle w:val="Hipervnculo"/>
            <w:rFonts w:eastAsia="Arial" w:cs="Tahoma"/>
            <w:sz w:val="22"/>
            <w:szCs w:val="22"/>
          </w:rPr>
          <w:t>https://www.renovacionterritorio.gov.co/transparencia-acceso-informacion-publica</w:t>
        </w:r>
      </w:hyperlink>
    </w:p>
    <w:p w14:paraId="10D2EE9A" w14:textId="77777777" w:rsidR="00DE3C06" w:rsidRPr="000C5171" w:rsidRDefault="00DE3C06" w:rsidP="00DE3C06">
      <w:pPr>
        <w:spacing w:line="276" w:lineRule="auto"/>
        <w:ind w:left="284"/>
        <w:jc w:val="both"/>
        <w:rPr>
          <w:rFonts w:cs="Tahoma"/>
          <w:sz w:val="22"/>
          <w:szCs w:val="22"/>
        </w:rPr>
      </w:pPr>
      <w:r w:rsidRPr="000C5171">
        <w:rPr>
          <w:rFonts w:cs="Tahoma"/>
          <w:sz w:val="22"/>
          <w:szCs w:val="22"/>
        </w:rPr>
        <w:t>En la siguiente gráfica se sintetizan los principales hitos normativos desde la creación de la ART hasta la fecha:</w:t>
      </w:r>
    </w:p>
    <w:p w14:paraId="0718521B" w14:textId="77777777" w:rsidR="00DE3C06" w:rsidRPr="000C5171" w:rsidRDefault="00DE3C06" w:rsidP="00DE3C06">
      <w:pPr>
        <w:spacing w:line="276" w:lineRule="auto"/>
        <w:jc w:val="center"/>
        <w:rPr>
          <w:rFonts w:cs="Tahoma"/>
          <w:sz w:val="22"/>
          <w:szCs w:val="22"/>
        </w:rPr>
      </w:pPr>
      <w:r w:rsidRPr="000C5171">
        <w:rPr>
          <w:rFonts w:cs="Tahoma"/>
          <w:sz w:val="22"/>
          <w:szCs w:val="22"/>
        </w:rPr>
        <w:t>Gráfica 2. Hitos normativos ART</w:t>
      </w:r>
    </w:p>
    <w:p w14:paraId="4B128636" w14:textId="77777777" w:rsidR="00DE3C06" w:rsidRPr="000C5171" w:rsidRDefault="00DE3C06" w:rsidP="00DE3C06">
      <w:pPr>
        <w:spacing w:line="276" w:lineRule="auto"/>
        <w:jc w:val="center"/>
        <w:rPr>
          <w:rFonts w:cs="Tahoma"/>
          <w:sz w:val="22"/>
          <w:szCs w:val="22"/>
        </w:rPr>
      </w:pPr>
      <w:r w:rsidRPr="000C5171">
        <w:rPr>
          <w:rFonts w:cs="Tahoma"/>
          <w:noProof/>
          <w:sz w:val="22"/>
          <w:szCs w:val="22"/>
        </w:rPr>
        <w:drawing>
          <wp:inline distT="0" distB="0" distL="0" distR="0" wp14:anchorId="5B79EFA9" wp14:editId="6FEBFB96">
            <wp:extent cx="5719236" cy="309372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BEBA8EAE-BF5A-486C-A8C5-ECC9F3942E4B}">
                          <a14:imgProps xmlns:a14="http://schemas.microsoft.com/office/drawing/2010/main">
                            <a14:imgLayer r:embed="rId13">
                              <a14:imgEffect>
                                <a14:sharpenSoften amount="50000"/>
                              </a14:imgEffect>
                              <a14:imgEffect>
                                <a14:brightnessContrast contrast="-40000"/>
                              </a14:imgEffect>
                            </a14:imgLayer>
                          </a14:imgProps>
                        </a:ext>
                      </a:extLst>
                    </a:blip>
                    <a:stretch>
                      <a:fillRect/>
                    </a:stretch>
                  </pic:blipFill>
                  <pic:spPr>
                    <a:xfrm>
                      <a:off x="0" y="0"/>
                      <a:ext cx="5732460" cy="3100873"/>
                    </a:xfrm>
                    <a:prstGeom prst="rect">
                      <a:avLst/>
                    </a:prstGeom>
                  </pic:spPr>
                </pic:pic>
              </a:graphicData>
            </a:graphic>
          </wp:inline>
        </w:drawing>
      </w:r>
    </w:p>
    <w:p w14:paraId="20B3AC7F" w14:textId="77777777" w:rsidR="00DE3C06" w:rsidRPr="000C5171" w:rsidRDefault="00DE3C06" w:rsidP="00DE3C06">
      <w:pPr>
        <w:spacing w:line="276" w:lineRule="auto"/>
        <w:jc w:val="center"/>
        <w:rPr>
          <w:rFonts w:cs="Tahoma"/>
          <w:sz w:val="22"/>
          <w:szCs w:val="22"/>
        </w:rPr>
      </w:pPr>
    </w:p>
    <w:p w14:paraId="27ED46AD" w14:textId="77777777" w:rsidR="00DE3C06" w:rsidRPr="000C5171" w:rsidRDefault="00DE3C06">
      <w:pPr>
        <w:pStyle w:val="Ttulo1"/>
        <w:numPr>
          <w:ilvl w:val="0"/>
          <w:numId w:val="2"/>
        </w:numPr>
        <w:spacing w:line="276" w:lineRule="auto"/>
        <w:ind w:left="426"/>
        <w:rPr>
          <w:rFonts w:cs="Tahoma"/>
        </w:rPr>
      </w:pPr>
      <w:bookmarkStart w:id="8" w:name="_Toc234168076"/>
      <w:r w:rsidRPr="000C5171">
        <w:rPr>
          <w:rFonts w:cs="Tahoma"/>
        </w:rPr>
        <w:lastRenderedPageBreak/>
        <w:t>REGLAMENTOS, MANUALES DE ORGANIZACIÓN, DE PROCEDIMIENTOS</w:t>
      </w:r>
      <w:bookmarkEnd w:id="8"/>
      <w:r w:rsidRPr="000C5171">
        <w:rPr>
          <w:rFonts w:cs="Tahoma"/>
        </w:rPr>
        <w:t xml:space="preserve">   </w:t>
      </w:r>
    </w:p>
    <w:p w14:paraId="54BD19B6" w14:textId="77777777" w:rsidR="00DE3C06" w:rsidRPr="000C5171" w:rsidRDefault="00DE3C06" w:rsidP="00DE3C06">
      <w:pPr>
        <w:spacing w:line="276" w:lineRule="auto"/>
        <w:jc w:val="both"/>
        <w:rPr>
          <w:rFonts w:cs="Tahoma"/>
          <w:sz w:val="22"/>
          <w:szCs w:val="22"/>
        </w:rPr>
      </w:pPr>
      <w:bookmarkStart w:id="9" w:name="_Hlk231459174"/>
      <w:r w:rsidRPr="000C5171">
        <w:rPr>
          <w:rFonts w:cs="Tahoma"/>
          <w:sz w:val="22"/>
          <w:szCs w:val="22"/>
        </w:rPr>
        <w:t>En atención a la Resolución 894 de 2017, se adoptó el sistema de Gestión de la Entidad y se armonizó el Modelo de Operación por Procesos de la Entidad vigente con las políticas, comités y planes acorde con la estructura del Decreto 1499 de 2017 y las dimensiones y políticas definidas en el Modelo Integrado de Planeación y Gestión MIPG, definiendo para ello un instrumento interno que controle la administración de los documentos oficiales de manera integral.</w:t>
      </w:r>
    </w:p>
    <w:p w14:paraId="7590442A" w14:textId="77777777" w:rsidR="00DE3C06" w:rsidRPr="000C5171" w:rsidRDefault="00DE3C06" w:rsidP="00DE3C06">
      <w:pPr>
        <w:spacing w:line="276" w:lineRule="auto"/>
        <w:jc w:val="both"/>
        <w:rPr>
          <w:rFonts w:cs="Tahoma"/>
          <w:sz w:val="22"/>
          <w:szCs w:val="22"/>
        </w:rPr>
      </w:pPr>
      <w:r w:rsidRPr="000C5171">
        <w:rPr>
          <w:rFonts w:cs="Tahoma"/>
          <w:sz w:val="22"/>
          <w:szCs w:val="22"/>
        </w:rPr>
        <w:t>El control de los documentos y registros se archivarán en repositorios oficiales y digitales establecidos por la entidad e identificados en las Tablas de Retención Documental – TRD, por lo cual se define estructurar el Sistema de Gestión de la ART – SIGART, asignando la administración éste y del repositorio digital a la Oficina de Planeación. (artículo 6° de la Resolución 894 de 2017).</w:t>
      </w:r>
    </w:p>
    <w:p w14:paraId="3A93F26C" w14:textId="77777777" w:rsidR="00DE3C06" w:rsidRPr="000C5171" w:rsidRDefault="00DE3C06" w:rsidP="00DE3C06">
      <w:pPr>
        <w:spacing w:line="276" w:lineRule="auto"/>
        <w:jc w:val="both"/>
        <w:rPr>
          <w:rFonts w:cs="Tahoma"/>
          <w:sz w:val="22"/>
          <w:szCs w:val="22"/>
        </w:rPr>
      </w:pPr>
      <w:r w:rsidRPr="000C5171">
        <w:rPr>
          <w:rFonts w:cs="Tahoma"/>
          <w:sz w:val="22"/>
          <w:szCs w:val="22"/>
        </w:rPr>
        <w:t>La Resolución 150 de 2024, mediante la cual se realizó la actualización del Modelo de Operación por Procesos de la entidad, identificó 13 procesos y 4 subprocesos como se evidencia en la siguiente imagen.</w:t>
      </w:r>
    </w:p>
    <w:p w14:paraId="58C7FA1E" w14:textId="77777777" w:rsidR="00DE3C06" w:rsidRPr="000C5171" w:rsidRDefault="00DE3C06" w:rsidP="00DE3C06">
      <w:pPr>
        <w:spacing w:line="276" w:lineRule="auto"/>
        <w:jc w:val="center"/>
        <w:rPr>
          <w:rFonts w:cs="Tahoma"/>
          <w:sz w:val="22"/>
          <w:szCs w:val="22"/>
        </w:rPr>
      </w:pPr>
      <w:r w:rsidRPr="000C5171">
        <w:rPr>
          <w:rFonts w:cs="Tahoma"/>
          <w:sz w:val="22"/>
          <w:szCs w:val="22"/>
        </w:rPr>
        <w:t>Gráfica 3. Modelo de Operación ART vigente 2026</w:t>
      </w:r>
      <w:r w:rsidRPr="000C5171">
        <w:rPr>
          <w:rFonts w:cs="Tahoma"/>
          <w:sz w:val="22"/>
          <w:szCs w:val="22"/>
        </w:rPr>
        <w:tab/>
      </w:r>
      <w:bookmarkEnd w:id="9"/>
      <w:r w:rsidRPr="000C5171">
        <w:rPr>
          <w:rFonts w:cs="Tahoma"/>
          <w:noProof/>
          <w:sz w:val="22"/>
          <w:szCs w:val="22"/>
          <w:lang w:eastAsia="es-CO"/>
        </w:rPr>
        <w:drawing>
          <wp:inline distT="0" distB="0" distL="0" distR="0" wp14:anchorId="4B1F977D" wp14:editId="160362C4">
            <wp:extent cx="5188903" cy="2970430"/>
            <wp:effectExtent l="19050" t="19050" r="12065" b="20955"/>
            <wp:docPr id="2"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pic:cNvPicPr>
                      <a:picLocks noChangeAspect="1" noChangeArrowheads="1"/>
                    </pic:cNvPicPr>
                  </pic:nvPicPr>
                  <pic:blipFill>
                    <a:blip r:embed="rId14">
                      <a:extLst>
                        <a:ext uri="{BEBA8EAE-BF5A-486C-A8C5-ECC9F3942E4B}">
                          <a14:imgProps xmlns:a14="http://schemas.microsoft.com/office/drawing/2010/main">
                            <a14:imgLayer r:embed="rId1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388540" cy="3084714"/>
                    </a:xfrm>
                    <a:prstGeom prst="rect">
                      <a:avLst/>
                    </a:prstGeom>
                    <a:noFill/>
                    <a:ln w="9525" cmpd="sng">
                      <a:solidFill>
                        <a:srgbClr val="000000"/>
                      </a:solidFill>
                      <a:miter lim="800000"/>
                      <a:headEnd/>
                      <a:tailEnd/>
                    </a:ln>
                    <a:effectLst/>
                  </pic:spPr>
                </pic:pic>
              </a:graphicData>
            </a:graphic>
          </wp:inline>
        </w:drawing>
      </w:r>
    </w:p>
    <w:p w14:paraId="0AD3256C" w14:textId="77777777" w:rsidR="00DE3C06" w:rsidRPr="000C5171" w:rsidRDefault="00DE3C06" w:rsidP="00DE3C06">
      <w:pPr>
        <w:spacing w:after="0" w:line="276" w:lineRule="auto"/>
        <w:jc w:val="both"/>
        <w:rPr>
          <w:rFonts w:cs="Tahoma"/>
          <w:sz w:val="22"/>
          <w:szCs w:val="22"/>
        </w:rPr>
      </w:pPr>
      <w:r w:rsidRPr="000C5171">
        <w:rPr>
          <w:rFonts w:cs="Tahoma"/>
          <w:sz w:val="22"/>
          <w:szCs w:val="22"/>
        </w:rPr>
        <w:lastRenderedPageBreak/>
        <w:t>En concordancia con lo anterior, en el servidor de archivos \\mercurio.honos.col\SIGART</w:t>
      </w:r>
      <w:r w:rsidRPr="000C5171">
        <w:rPr>
          <w:rStyle w:val="Refdenotaalpie"/>
          <w:rFonts w:cs="Tahoma"/>
          <w:sz w:val="22"/>
          <w:szCs w:val="22"/>
          <w:u w:val="single"/>
        </w:rPr>
        <w:footnoteReference w:id="11"/>
      </w:r>
      <w:r w:rsidRPr="000C5171">
        <w:rPr>
          <w:rFonts w:cs="Tahoma"/>
          <w:sz w:val="22"/>
          <w:szCs w:val="22"/>
        </w:rPr>
        <w:t xml:space="preserve"> *, se estructura la documentación de cada uno de los procesos en la carpeta de DOCUMENTOS CONTROLADOS</w:t>
      </w:r>
      <w:r w:rsidRPr="000C5171">
        <w:rPr>
          <w:rStyle w:val="Refdenotaalpie"/>
          <w:rFonts w:cs="Tahoma"/>
          <w:b/>
          <w:bCs/>
          <w:sz w:val="22"/>
          <w:szCs w:val="22"/>
        </w:rPr>
        <w:footnoteReference w:id="12"/>
      </w:r>
      <w:proofErr w:type="gramStart"/>
      <w:r w:rsidRPr="000C5171">
        <w:rPr>
          <w:rFonts w:cs="Tahoma"/>
          <w:sz w:val="22"/>
          <w:szCs w:val="22"/>
        </w:rPr>
        <w:t>* .</w:t>
      </w:r>
      <w:proofErr w:type="gramEnd"/>
      <w:r w:rsidRPr="000C5171">
        <w:rPr>
          <w:rFonts w:cs="Tahoma"/>
          <w:sz w:val="22"/>
          <w:szCs w:val="22"/>
        </w:rPr>
        <w:t xml:space="preserve"> Para conocer la relación de procesos y procedimientos vigentes consulte el </w:t>
      </w:r>
      <w:r w:rsidRPr="000C5171">
        <w:rPr>
          <w:rFonts w:cs="Tahoma"/>
          <w:b/>
          <w:bCs/>
          <w:sz w:val="22"/>
          <w:szCs w:val="22"/>
        </w:rPr>
        <w:t xml:space="preserve">ANEXO 4. </w:t>
      </w:r>
      <w:r w:rsidRPr="000C5171">
        <w:rPr>
          <w:rFonts w:cs="Tahoma"/>
          <w:sz w:val="22"/>
          <w:szCs w:val="22"/>
        </w:rPr>
        <w:t xml:space="preserve"> Listado de Procesos y procedimientos vigentes. Así mismo esta información se encuentra disponible en el enlace de transparencia de la página web institucional: </w:t>
      </w:r>
      <w:hyperlink r:id="rId16" w:history="1">
        <w:r w:rsidRPr="000C5171">
          <w:rPr>
            <w:rStyle w:val="Hipervnculo"/>
            <w:rFonts w:cs="Tahoma"/>
            <w:sz w:val="22"/>
            <w:szCs w:val="22"/>
          </w:rPr>
          <w:t>https://www.renovacionterritorio.gov.co/transparencia-acceso-informacion-publica/informacion-de-la-entidad/mapas-y-cartas-descriptivas-de-los-procesos</w:t>
        </w:r>
      </w:hyperlink>
    </w:p>
    <w:p w14:paraId="614F4F83" w14:textId="77777777" w:rsidR="00DE3C06" w:rsidRPr="000C5171" w:rsidRDefault="00DE3C06" w:rsidP="00DE3C06">
      <w:pPr>
        <w:spacing w:line="276" w:lineRule="auto"/>
        <w:rPr>
          <w:rFonts w:cs="Tahoma"/>
          <w:b/>
          <w:bCs/>
          <w:sz w:val="22"/>
          <w:szCs w:val="22"/>
        </w:rPr>
      </w:pPr>
      <w:r w:rsidRPr="000C5171">
        <w:rPr>
          <w:rFonts w:cs="Tahoma"/>
          <w:b/>
          <w:bCs/>
          <w:sz w:val="22"/>
          <w:szCs w:val="22"/>
        </w:rPr>
        <w:t>Revisión por la Dirección del Sistema Integrado de Gestión</w:t>
      </w:r>
    </w:p>
    <w:p w14:paraId="3AAA4608" w14:textId="77777777" w:rsidR="00DE3C06" w:rsidRPr="000C5171" w:rsidRDefault="00DE3C06" w:rsidP="00DE3C06">
      <w:pPr>
        <w:spacing w:line="276" w:lineRule="auto"/>
        <w:jc w:val="both"/>
        <w:rPr>
          <w:rFonts w:cs="Tahoma"/>
          <w:sz w:val="22"/>
          <w:szCs w:val="22"/>
        </w:rPr>
      </w:pPr>
      <w:r w:rsidRPr="000C5171">
        <w:rPr>
          <w:rFonts w:cs="Tahoma"/>
          <w:sz w:val="22"/>
          <w:szCs w:val="22"/>
        </w:rPr>
        <w:t>En cumplimiento del numeral 9.3 de la Norma 270001:2022, la revisión por la dirección es un elemento esencial de un SGSI. Es el punto formal en el que la Alta Dirección revisa la eficacia del SGSI y asegura su alineación con la dirección estratégica de la organización.</w:t>
      </w:r>
    </w:p>
    <w:p w14:paraId="314D7AE5" w14:textId="77777777" w:rsidR="00DE3C06" w:rsidRPr="000C5171" w:rsidRDefault="00DE3C06" w:rsidP="00DE3C06">
      <w:pPr>
        <w:spacing w:line="276" w:lineRule="auto"/>
        <w:jc w:val="both"/>
        <w:rPr>
          <w:rFonts w:cs="Tahoma"/>
          <w:sz w:val="22"/>
          <w:szCs w:val="22"/>
        </w:rPr>
      </w:pPr>
      <w:r w:rsidRPr="000C5171">
        <w:rPr>
          <w:rFonts w:cs="Tahoma"/>
          <w:sz w:val="22"/>
          <w:szCs w:val="22"/>
        </w:rPr>
        <w:t xml:space="preserve">Así mismo y aunque los Sistema de Gestión Ambiental – SGA y Seguridad y Salud en el Trabajo – SGSST no se encuentran certificados por un ente externo de aseguramiento, en el Informe de Revisión por la Dirección realizado en las vigencias 2023 y 2024, se incorporaron para su revisión los criterios identificados en las normas reglamentarias para cada uno de ellos a saber, las resoluciones 312 de 2019 y 1072 de 2015, respectivamente. </w:t>
      </w:r>
    </w:p>
    <w:p w14:paraId="047082CE" w14:textId="77777777" w:rsidR="00DE3C06" w:rsidRPr="000C5171" w:rsidRDefault="00DE3C06" w:rsidP="00DE3C06">
      <w:pPr>
        <w:spacing w:line="276" w:lineRule="auto"/>
        <w:jc w:val="both"/>
        <w:rPr>
          <w:rFonts w:cs="Tahoma"/>
          <w:sz w:val="22"/>
          <w:szCs w:val="22"/>
        </w:rPr>
      </w:pPr>
      <w:r w:rsidRPr="000C5171">
        <w:rPr>
          <w:rFonts w:cs="Tahoma"/>
          <w:sz w:val="22"/>
          <w:szCs w:val="22"/>
          <w:u w:val="single"/>
        </w:rPr>
        <w:t xml:space="preserve">Aspectos </w:t>
      </w:r>
      <w:proofErr w:type="gramStart"/>
      <w:r w:rsidRPr="000C5171">
        <w:rPr>
          <w:rFonts w:cs="Tahoma"/>
          <w:sz w:val="22"/>
          <w:szCs w:val="22"/>
          <w:u w:val="single"/>
        </w:rPr>
        <w:t>a</w:t>
      </w:r>
      <w:proofErr w:type="gramEnd"/>
      <w:r w:rsidRPr="000C5171">
        <w:rPr>
          <w:rFonts w:cs="Tahoma"/>
          <w:sz w:val="22"/>
          <w:szCs w:val="22"/>
          <w:u w:val="single"/>
        </w:rPr>
        <w:t xml:space="preserve"> tener en cuenta:</w:t>
      </w:r>
      <w:r w:rsidRPr="000C5171">
        <w:rPr>
          <w:rFonts w:cs="Tahoma"/>
          <w:sz w:val="22"/>
          <w:szCs w:val="22"/>
        </w:rPr>
        <w:t xml:space="preserve"> Con el propósito de articular la misionalidad con la implementación de los PATR revisados y actualizados, se identifica la necesidad de efectuar la revisión del Modelo de Operación y Estructura Organizacional como se describe en el numeral “11.2 Otros Temas prioritarios: Estratégicos”, del presente informe.</w:t>
      </w:r>
    </w:p>
    <w:p w14:paraId="6B56C39E" w14:textId="77777777" w:rsidR="00DE3C06" w:rsidRPr="000C5171" w:rsidRDefault="00DE3C06" w:rsidP="00DE3C06">
      <w:pPr>
        <w:spacing w:line="276" w:lineRule="auto"/>
        <w:jc w:val="both"/>
        <w:rPr>
          <w:rFonts w:cs="Tahoma"/>
          <w:sz w:val="22"/>
          <w:szCs w:val="22"/>
        </w:rPr>
      </w:pPr>
    </w:p>
    <w:p w14:paraId="7A9B79BC" w14:textId="77777777" w:rsidR="00DE3C06" w:rsidRPr="000C5171" w:rsidRDefault="00DE3C06">
      <w:pPr>
        <w:pStyle w:val="Ttulo1"/>
        <w:numPr>
          <w:ilvl w:val="0"/>
          <w:numId w:val="2"/>
        </w:numPr>
        <w:spacing w:line="276" w:lineRule="auto"/>
        <w:ind w:left="0" w:firstLine="0"/>
        <w:rPr>
          <w:rFonts w:cs="Tahoma"/>
        </w:rPr>
      </w:pPr>
      <w:bookmarkStart w:id="10" w:name="_Toc234168077"/>
      <w:r w:rsidRPr="000C5171">
        <w:rPr>
          <w:rFonts w:cs="Tahoma"/>
        </w:rPr>
        <w:t>INFORME DEL DESPACHO</w:t>
      </w:r>
      <w:bookmarkEnd w:id="10"/>
      <w:r w:rsidRPr="000C5171">
        <w:rPr>
          <w:rFonts w:cs="Tahoma"/>
        </w:rPr>
        <w:t xml:space="preserve"> </w:t>
      </w:r>
      <w:r w:rsidRPr="000C5171">
        <w:rPr>
          <w:rFonts w:cs="Tahoma"/>
        </w:rPr>
        <w:tab/>
      </w:r>
      <w:r w:rsidRPr="000C5171">
        <w:rPr>
          <w:rFonts w:cs="Tahoma"/>
        </w:rPr>
        <w:tab/>
      </w:r>
      <w:r w:rsidRPr="000C5171">
        <w:rPr>
          <w:rFonts w:cs="Tahoma"/>
        </w:rPr>
        <w:tab/>
      </w:r>
      <w:r w:rsidRPr="000C5171">
        <w:rPr>
          <w:rFonts w:cs="Tahoma"/>
        </w:rPr>
        <w:tab/>
        <w:t xml:space="preserve"> </w:t>
      </w:r>
    </w:p>
    <w:p w14:paraId="399A0C85" w14:textId="77777777" w:rsidR="00DE3C06" w:rsidRPr="000C5171" w:rsidRDefault="00DE3C06" w:rsidP="00DE3C06">
      <w:pPr>
        <w:pStyle w:val="Ttulo1"/>
        <w:spacing w:line="276" w:lineRule="auto"/>
        <w:rPr>
          <w:rStyle w:val="SubttuloCar"/>
          <w:rFonts w:cs="Tahoma"/>
          <w:b/>
          <w:bCs/>
        </w:rPr>
      </w:pPr>
      <w:bookmarkStart w:id="11" w:name="_Toc234168078"/>
      <w:r w:rsidRPr="000C5171">
        <w:rPr>
          <w:rStyle w:val="SubttuloCar"/>
          <w:rFonts w:cs="Tahoma"/>
          <w:b/>
          <w:bCs/>
        </w:rPr>
        <w:t>5.1 Situación del despacho al frente de la entidad durante el periodo de gobierno.</w:t>
      </w:r>
      <w:bookmarkEnd w:id="11"/>
      <w:r w:rsidRPr="000C5171">
        <w:rPr>
          <w:rStyle w:val="SubttuloCar"/>
          <w:rFonts w:cs="Tahoma"/>
          <w:b/>
          <w:bCs/>
        </w:rPr>
        <w:t xml:space="preserve"> </w:t>
      </w:r>
    </w:p>
    <w:p w14:paraId="65DF2175" w14:textId="77777777" w:rsidR="00DE3C06" w:rsidRPr="000C5171" w:rsidRDefault="00DE3C06" w:rsidP="00DE3C06">
      <w:pPr>
        <w:spacing w:after="0" w:line="276" w:lineRule="auto"/>
        <w:jc w:val="center"/>
        <w:rPr>
          <w:rFonts w:eastAsia="Arial" w:cs="Tahoma"/>
          <w:b/>
          <w:bCs/>
          <w:sz w:val="22"/>
          <w:szCs w:val="22"/>
        </w:rPr>
      </w:pPr>
      <w:r w:rsidRPr="000C5171">
        <w:rPr>
          <w:rFonts w:eastAsia="Arial" w:cs="Tahoma"/>
          <w:b/>
          <w:bCs/>
          <w:sz w:val="22"/>
          <w:szCs w:val="22"/>
        </w:rPr>
        <w:t xml:space="preserve">  </w:t>
      </w:r>
    </w:p>
    <w:p w14:paraId="3C1368DC" w14:textId="77777777" w:rsidR="00DE3C06" w:rsidRPr="000C5171" w:rsidRDefault="00DE3C06" w:rsidP="00DE3C06">
      <w:pPr>
        <w:spacing w:after="0" w:line="276" w:lineRule="auto"/>
        <w:jc w:val="both"/>
        <w:rPr>
          <w:rFonts w:eastAsia="Arial" w:cs="Tahoma"/>
          <w:b/>
          <w:bCs/>
          <w:sz w:val="22"/>
          <w:szCs w:val="22"/>
        </w:rPr>
      </w:pPr>
      <w:r w:rsidRPr="000C5171">
        <w:rPr>
          <w:rFonts w:eastAsia="Arial" w:cs="Tahoma"/>
          <w:b/>
          <w:bCs/>
          <w:sz w:val="22"/>
          <w:szCs w:val="22"/>
        </w:rPr>
        <w:t xml:space="preserve">A DIEZ AÑOS DEL ACUERDO FINAL DE PAZ EN LOS TERRITORIOS PDET: DISMINUIDA LA POBREZA MULTIDIMENSIONAL, MEJORADO EL DESEMPEÑO MUNICIPAL, REVISADOS Y </w:t>
      </w:r>
      <w:r w:rsidRPr="000C5171">
        <w:rPr>
          <w:rFonts w:eastAsia="Arial" w:cs="Tahoma"/>
          <w:b/>
          <w:bCs/>
          <w:sz w:val="22"/>
          <w:szCs w:val="22"/>
        </w:rPr>
        <w:lastRenderedPageBreak/>
        <w:t>ACTUALIZADOS LOS PATR, AMPLIADA LA VIGENCIA DE LOS PDET HASTA EL 2037. GRANDES RETOS POR SUPERAR HACIA ADELANTE.</w:t>
      </w:r>
    </w:p>
    <w:p w14:paraId="4FAA9437" w14:textId="77777777" w:rsidR="00DE3C06" w:rsidRPr="000C5171" w:rsidRDefault="00DE3C06" w:rsidP="00DE3C06">
      <w:pPr>
        <w:spacing w:line="276" w:lineRule="auto"/>
        <w:jc w:val="both"/>
        <w:rPr>
          <w:rStyle w:val="SubttuloCar"/>
          <w:rFonts w:cs="Tahoma"/>
        </w:rPr>
      </w:pPr>
    </w:p>
    <w:p w14:paraId="5E04E915" w14:textId="77777777" w:rsidR="00DE3C06" w:rsidRPr="000C5171" w:rsidRDefault="00DE3C06" w:rsidP="00DE3C06">
      <w:pPr>
        <w:spacing w:line="276" w:lineRule="auto"/>
        <w:rPr>
          <w:rFonts w:eastAsia="Arial"/>
          <w:b/>
          <w:bCs/>
          <w:sz w:val="22"/>
          <w:szCs w:val="22"/>
        </w:rPr>
      </w:pPr>
      <w:r w:rsidRPr="000C5171">
        <w:rPr>
          <w:rFonts w:eastAsia="Arial" w:cs="Tahoma"/>
          <w:b/>
          <w:bCs/>
          <w:sz w:val="22"/>
          <w:szCs w:val="22"/>
        </w:rPr>
        <w:t>Aspectos</w:t>
      </w:r>
      <w:r w:rsidRPr="000C5171">
        <w:rPr>
          <w:rFonts w:eastAsia="Arial"/>
          <w:b/>
          <w:bCs/>
          <w:sz w:val="22"/>
          <w:szCs w:val="22"/>
        </w:rPr>
        <w:t xml:space="preserve"> Generales:</w:t>
      </w:r>
    </w:p>
    <w:p w14:paraId="7D6EA211" w14:textId="77777777" w:rsidR="00DE3C06" w:rsidRPr="000C5171" w:rsidRDefault="00DE3C06" w:rsidP="00DE3C06">
      <w:pPr>
        <w:spacing w:after="0" w:line="276" w:lineRule="auto"/>
        <w:jc w:val="both"/>
        <w:rPr>
          <w:rFonts w:cs="Tahoma"/>
          <w:sz w:val="22"/>
          <w:szCs w:val="22"/>
        </w:rPr>
      </w:pPr>
      <w:r w:rsidRPr="000C5171">
        <w:rPr>
          <w:rFonts w:cs="Tahoma"/>
          <w:sz w:val="22"/>
          <w:szCs w:val="22"/>
        </w:rPr>
        <w:t>Como se señaló en la parte introductoria, corresponde la ART por mandato legal coordinar la implementación de los PDET y más específicamente, el artículo 7º. del Decreto Ley 893 de 2017, determina que:</w:t>
      </w:r>
    </w:p>
    <w:p w14:paraId="184C6568" w14:textId="77777777" w:rsidR="00DE3C06" w:rsidRPr="000C5171" w:rsidRDefault="00DE3C06" w:rsidP="00DE3C06">
      <w:pPr>
        <w:spacing w:after="0" w:line="276" w:lineRule="auto"/>
        <w:jc w:val="both"/>
        <w:rPr>
          <w:rFonts w:cs="Tahoma"/>
          <w:sz w:val="22"/>
          <w:szCs w:val="22"/>
        </w:rPr>
      </w:pPr>
      <w:r w:rsidRPr="000C5171">
        <w:rPr>
          <w:rFonts w:cs="Tahoma"/>
          <w:sz w:val="22"/>
          <w:szCs w:val="22"/>
        </w:rPr>
        <w:t>“La Agencia de Renovación del Territorio (ART) dirigirá la construcción participativa y la respectiva revisión y seguimiento de los PATR de los PDET, y coordinará la estructuración y ejecución de los proyectos de dichos planes, en articulación con las entidades nacionales, territoriales y las autoridades tradicionales de los territorios de los pueblos, comunidades y grupos étnicos”.</w:t>
      </w:r>
    </w:p>
    <w:p w14:paraId="45DB0ABE" w14:textId="77777777" w:rsidR="00DE3C06" w:rsidRPr="000C5171" w:rsidRDefault="00DE3C06" w:rsidP="00DE3C06">
      <w:pPr>
        <w:spacing w:after="0" w:line="276" w:lineRule="auto"/>
        <w:jc w:val="both"/>
        <w:rPr>
          <w:rFonts w:cs="Tahoma"/>
          <w:sz w:val="22"/>
          <w:szCs w:val="22"/>
        </w:rPr>
      </w:pPr>
      <w:r w:rsidRPr="000C5171">
        <w:rPr>
          <w:rFonts w:cs="Tahoma"/>
          <w:sz w:val="22"/>
          <w:szCs w:val="22"/>
        </w:rPr>
        <w:t xml:space="preserve"> </w:t>
      </w:r>
    </w:p>
    <w:p w14:paraId="7F37EB31" w14:textId="77777777" w:rsidR="00DE3C06" w:rsidRPr="000C5171" w:rsidRDefault="00DE3C06" w:rsidP="00DE3C06">
      <w:pPr>
        <w:spacing w:after="0" w:line="276" w:lineRule="auto"/>
        <w:jc w:val="both"/>
        <w:rPr>
          <w:rFonts w:cs="Tahoma"/>
          <w:sz w:val="22"/>
          <w:szCs w:val="22"/>
        </w:rPr>
      </w:pPr>
      <w:r w:rsidRPr="000C5171">
        <w:rPr>
          <w:rFonts w:cs="Tahoma"/>
          <w:sz w:val="22"/>
          <w:szCs w:val="22"/>
        </w:rPr>
        <w:t xml:space="preserve">Antes el artículo 4º. de la precitada norma había establecido: </w:t>
      </w:r>
      <w:r w:rsidRPr="000C5171">
        <w:rPr>
          <w:rFonts w:cs="Tahoma"/>
          <w:b/>
          <w:bCs/>
          <w:sz w:val="22"/>
          <w:szCs w:val="22"/>
        </w:rPr>
        <w:t>“Plan de Acción para la Trasformación Regional</w:t>
      </w:r>
      <w:proofErr w:type="gramStart"/>
      <w:r w:rsidRPr="000C5171">
        <w:rPr>
          <w:rFonts w:cs="Tahoma"/>
          <w:b/>
          <w:bCs/>
          <w:sz w:val="22"/>
          <w:szCs w:val="22"/>
        </w:rPr>
        <w:t xml:space="preserve">” </w:t>
      </w:r>
      <w:r w:rsidRPr="000C5171">
        <w:rPr>
          <w:rFonts w:cs="Tahoma"/>
          <w:sz w:val="22"/>
          <w:szCs w:val="22"/>
        </w:rPr>
        <w:t>.</w:t>
      </w:r>
      <w:proofErr w:type="gramEnd"/>
      <w:r w:rsidRPr="000C5171">
        <w:rPr>
          <w:rFonts w:cs="Tahoma"/>
          <w:sz w:val="22"/>
          <w:szCs w:val="22"/>
        </w:rPr>
        <w:t xml:space="preserve"> Cada PDET se instrumentalizará en un Plan de Acción para la Transformación Regional (PATR), construido de manera participativa, amplia y pluralista en las zonas priorizadas. </w:t>
      </w:r>
    </w:p>
    <w:p w14:paraId="1F46C4A4" w14:textId="77777777" w:rsidR="00DE3C06" w:rsidRPr="000C5171" w:rsidRDefault="00DE3C06" w:rsidP="00DE3C06">
      <w:pPr>
        <w:spacing w:after="0" w:line="276" w:lineRule="auto"/>
        <w:jc w:val="both"/>
        <w:rPr>
          <w:rFonts w:cs="Tahoma"/>
          <w:sz w:val="22"/>
          <w:szCs w:val="22"/>
        </w:rPr>
      </w:pPr>
    </w:p>
    <w:p w14:paraId="78F29B92" w14:textId="77777777" w:rsidR="00DE3C06" w:rsidRPr="000C5171" w:rsidRDefault="00DE3C06" w:rsidP="00DE3C06">
      <w:pPr>
        <w:spacing w:after="0" w:line="276" w:lineRule="auto"/>
        <w:jc w:val="both"/>
        <w:rPr>
          <w:rFonts w:cs="Tahoma"/>
          <w:sz w:val="22"/>
          <w:szCs w:val="22"/>
        </w:rPr>
      </w:pPr>
      <w:r w:rsidRPr="000C5171">
        <w:rPr>
          <w:rFonts w:cs="Tahoma"/>
          <w:sz w:val="22"/>
          <w:szCs w:val="22"/>
        </w:rPr>
        <w:t>Este plan tendrá en cuenta como mínimo:</w:t>
      </w:r>
    </w:p>
    <w:p w14:paraId="0E4721A2" w14:textId="77777777" w:rsidR="00DE3C06" w:rsidRPr="000C5171" w:rsidRDefault="00DE3C06" w:rsidP="00DE3C06">
      <w:pPr>
        <w:tabs>
          <w:tab w:val="left" w:pos="426"/>
        </w:tabs>
        <w:spacing w:after="0" w:line="276" w:lineRule="auto"/>
        <w:jc w:val="both"/>
        <w:rPr>
          <w:rFonts w:cs="Tahoma"/>
          <w:sz w:val="22"/>
          <w:szCs w:val="22"/>
        </w:rPr>
      </w:pPr>
    </w:p>
    <w:p w14:paraId="59E2056A" w14:textId="77777777" w:rsidR="00DE3C06" w:rsidRPr="000C5171" w:rsidRDefault="00DE3C06">
      <w:pPr>
        <w:pStyle w:val="Prrafodelista"/>
        <w:numPr>
          <w:ilvl w:val="1"/>
          <w:numId w:val="15"/>
        </w:numPr>
        <w:spacing w:after="0" w:line="276" w:lineRule="auto"/>
        <w:ind w:left="709"/>
        <w:jc w:val="both"/>
        <w:rPr>
          <w:rFonts w:cs="Tahoma"/>
          <w:sz w:val="22"/>
          <w:szCs w:val="22"/>
        </w:rPr>
      </w:pPr>
      <w:r w:rsidRPr="000C5171">
        <w:rPr>
          <w:rFonts w:cs="Tahoma"/>
          <w:sz w:val="22"/>
          <w:szCs w:val="22"/>
        </w:rPr>
        <w:t xml:space="preserve">Lineamientos metodológicos que garanticen su construcción participativa. </w:t>
      </w:r>
    </w:p>
    <w:p w14:paraId="4EF68AE0" w14:textId="77777777" w:rsidR="00DE3C06" w:rsidRPr="000C5171" w:rsidRDefault="00DE3C06">
      <w:pPr>
        <w:pStyle w:val="Prrafodelista"/>
        <w:numPr>
          <w:ilvl w:val="1"/>
          <w:numId w:val="15"/>
        </w:numPr>
        <w:spacing w:after="0" w:line="276" w:lineRule="auto"/>
        <w:ind w:left="709"/>
        <w:jc w:val="both"/>
        <w:rPr>
          <w:rFonts w:cs="Tahoma"/>
          <w:sz w:val="22"/>
          <w:szCs w:val="22"/>
        </w:rPr>
      </w:pPr>
      <w:r w:rsidRPr="000C5171">
        <w:rPr>
          <w:rFonts w:cs="Tahoma"/>
          <w:sz w:val="22"/>
          <w:szCs w:val="22"/>
        </w:rPr>
        <w:t xml:space="preserve">Un diagnóstico participativo elaborado con las comunidades que identifiquen   las necesidades en el territorio. </w:t>
      </w:r>
    </w:p>
    <w:p w14:paraId="633A8545" w14:textId="77777777" w:rsidR="00DE3C06" w:rsidRPr="000C5171" w:rsidRDefault="00DE3C06">
      <w:pPr>
        <w:pStyle w:val="Prrafodelista"/>
        <w:numPr>
          <w:ilvl w:val="1"/>
          <w:numId w:val="15"/>
        </w:numPr>
        <w:spacing w:after="0" w:line="276" w:lineRule="auto"/>
        <w:ind w:left="709"/>
        <w:jc w:val="both"/>
        <w:rPr>
          <w:rFonts w:cs="Tahoma"/>
          <w:sz w:val="22"/>
          <w:szCs w:val="22"/>
        </w:rPr>
      </w:pPr>
      <w:r w:rsidRPr="000C5171">
        <w:rPr>
          <w:rFonts w:cs="Tahoma"/>
          <w:sz w:val="22"/>
          <w:szCs w:val="22"/>
        </w:rPr>
        <w:t xml:space="preserve">Una visión del territorio que permita definir líneas de acción para su transformación. </w:t>
      </w:r>
    </w:p>
    <w:p w14:paraId="5717965C" w14:textId="77777777" w:rsidR="00DE3C06" w:rsidRPr="000C5171" w:rsidRDefault="00DE3C06">
      <w:pPr>
        <w:pStyle w:val="Prrafodelista"/>
        <w:numPr>
          <w:ilvl w:val="1"/>
          <w:numId w:val="15"/>
        </w:numPr>
        <w:spacing w:after="0" w:line="276" w:lineRule="auto"/>
        <w:ind w:left="709"/>
        <w:jc w:val="both"/>
        <w:rPr>
          <w:rFonts w:cs="Tahoma"/>
          <w:sz w:val="22"/>
          <w:szCs w:val="22"/>
        </w:rPr>
      </w:pPr>
      <w:r w:rsidRPr="000C5171">
        <w:rPr>
          <w:rFonts w:cs="Tahoma"/>
          <w:sz w:val="22"/>
          <w:szCs w:val="22"/>
        </w:rPr>
        <w:t xml:space="preserve">Enfoque territorial que reconozca las características </w:t>
      </w:r>
      <w:proofErr w:type="gramStart"/>
      <w:r w:rsidRPr="000C5171">
        <w:rPr>
          <w:rFonts w:cs="Tahoma"/>
          <w:sz w:val="22"/>
          <w:szCs w:val="22"/>
        </w:rPr>
        <w:t>socio-históricas</w:t>
      </w:r>
      <w:proofErr w:type="gramEnd"/>
      <w:r w:rsidRPr="000C5171">
        <w:rPr>
          <w:rFonts w:cs="Tahoma"/>
          <w:sz w:val="22"/>
          <w:szCs w:val="22"/>
        </w:rPr>
        <w:t xml:space="preserve">, culturales, ambientales y productivas de los territorios y sus habitantes, sus necesidades diferenciadas y la vocación de los suelos, de conformidad con las normas orgánicas de planeación y ordenamiento territorial. </w:t>
      </w:r>
    </w:p>
    <w:p w14:paraId="3EF02FA6" w14:textId="77777777" w:rsidR="00DE3C06" w:rsidRPr="000C5171" w:rsidRDefault="00DE3C06">
      <w:pPr>
        <w:pStyle w:val="Prrafodelista"/>
        <w:numPr>
          <w:ilvl w:val="1"/>
          <w:numId w:val="15"/>
        </w:numPr>
        <w:spacing w:after="0" w:line="276" w:lineRule="auto"/>
        <w:ind w:left="709"/>
        <w:jc w:val="both"/>
        <w:rPr>
          <w:rFonts w:cs="Tahoma"/>
          <w:sz w:val="22"/>
          <w:szCs w:val="22"/>
        </w:rPr>
      </w:pPr>
      <w:r w:rsidRPr="000C5171">
        <w:rPr>
          <w:rFonts w:cs="Tahoma"/>
          <w:sz w:val="22"/>
          <w:szCs w:val="22"/>
        </w:rPr>
        <w:t>El enfoque diferencial que incorpore la perspectiva étnica y cultural de los pueblos y comunidades de los territorios.</w:t>
      </w:r>
    </w:p>
    <w:p w14:paraId="1F60C02F" w14:textId="77777777" w:rsidR="00DE3C06" w:rsidRPr="000C5171" w:rsidRDefault="00DE3C06">
      <w:pPr>
        <w:pStyle w:val="Prrafodelista"/>
        <w:numPr>
          <w:ilvl w:val="1"/>
          <w:numId w:val="15"/>
        </w:numPr>
        <w:spacing w:after="0" w:line="276" w:lineRule="auto"/>
        <w:ind w:left="709"/>
        <w:jc w:val="both"/>
        <w:rPr>
          <w:rFonts w:cs="Tahoma"/>
          <w:sz w:val="22"/>
          <w:szCs w:val="22"/>
        </w:rPr>
      </w:pPr>
      <w:r w:rsidRPr="000C5171">
        <w:rPr>
          <w:rFonts w:cs="Tahoma"/>
          <w:sz w:val="22"/>
          <w:szCs w:val="22"/>
        </w:rPr>
        <w:t>El enfoque reparador del PDET.</w:t>
      </w:r>
    </w:p>
    <w:p w14:paraId="5DB98C7C" w14:textId="77777777" w:rsidR="00DE3C06" w:rsidRPr="000C5171" w:rsidRDefault="00DE3C06">
      <w:pPr>
        <w:pStyle w:val="Prrafodelista"/>
        <w:numPr>
          <w:ilvl w:val="1"/>
          <w:numId w:val="15"/>
        </w:numPr>
        <w:spacing w:after="0" w:line="276" w:lineRule="auto"/>
        <w:ind w:left="709"/>
        <w:jc w:val="both"/>
        <w:rPr>
          <w:rFonts w:cs="Tahoma"/>
          <w:sz w:val="22"/>
          <w:szCs w:val="22"/>
        </w:rPr>
      </w:pPr>
      <w:r w:rsidRPr="000C5171">
        <w:rPr>
          <w:rFonts w:cs="Tahoma"/>
          <w:sz w:val="22"/>
          <w:szCs w:val="22"/>
        </w:rPr>
        <w:t xml:space="preserve">Enfoque de género que reconozca las necesidades particulares de las mujeres rurales. </w:t>
      </w:r>
    </w:p>
    <w:p w14:paraId="324F60D7" w14:textId="77777777" w:rsidR="00DE3C06" w:rsidRPr="000C5171" w:rsidRDefault="00DE3C06">
      <w:pPr>
        <w:pStyle w:val="Prrafodelista"/>
        <w:numPr>
          <w:ilvl w:val="1"/>
          <w:numId w:val="15"/>
        </w:numPr>
        <w:spacing w:after="0" w:line="276" w:lineRule="auto"/>
        <w:ind w:left="709"/>
        <w:jc w:val="both"/>
        <w:rPr>
          <w:rFonts w:cs="Tahoma"/>
          <w:sz w:val="22"/>
          <w:szCs w:val="22"/>
        </w:rPr>
      </w:pPr>
      <w:r w:rsidRPr="000C5171">
        <w:rPr>
          <w:rFonts w:cs="Tahoma"/>
          <w:sz w:val="22"/>
          <w:szCs w:val="22"/>
        </w:rPr>
        <w:t xml:space="preserve">Un capítulo de programas y proyectos, que orienten la ejecución, de acuerdo con lo establecido en el Acuerdo Final y bajo los lineamientos del Departamento Nacional de Planeación. </w:t>
      </w:r>
    </w:p>
    <w:p w14:paraId="2A42F23F" w14:textId="77777777" w:rsidR="00DE3C06" w:rsidRPr="000C5171" w:rsidRDefault="00DE3C06">
      <w:pPr>
        <w:pStyle w:val="Prrafodelista"/>
        <w:numPr>
          <w:ilvl w:val="1"/>
          <w:numId w:val="15"/>
        </w:numPr>
        <w:spacing w:after="0" w:line="276" w:lineRule="auto"/>
        <w:ind w:left="709"/>
        <w:jc w:val="both"/>
        <w:rPr>
          <w:rFonts w:cs="Tahoma"/>
          <w:sz w:val="22"/>
          <w:szCs w:val="22"/>
        </w:rPr>
      </w:pPr>
      <w:r w:rsidRPr="000C5171">
        <w:rPr>
          <w:rFonts w:cs="Tahoma"/>
          <w:sz w:val="22"/>
          <w:szCs w:val="22"/>
        </w:rPr>
        <w:t xml:space="preserve">Un capítulo de indicadores y metas para el seguimiento y evaluación. </w:t>
      </w:r>
    </w:p>
    <w:p w14:paraId="65542211" w14:textId="77777777" w:rsidR="00DE3C06" w:rsidRPr="000C5171" w:rsidRDefault="00DE3C06">
      <w:pPr>
        <w:pStyle w:val="Prrafodelista"/>
        <w:numPr>
          <w:ilvl w:val="1"/>
          <w:numId w:val="15"/>
        </w:numPr>
        <w:spacing w:after="0" w:line="276" w:lineRule="auto"/>
        <w:ind w:left="709"/>
        <w:jc w:val="both"/>
        <w:rPr>
          <w:rFonts w:cs="Tahoma"/>
          <w:sz w:val="22"/>
          <w:szCs w:val="22"/>
        </w:rPr>
      </w:pPr>
      <w:r w:rsidRPr="000C5171">
        <w:rPr>
          <w:rFonts w:cs="Tahoma"/>
          <w:sz w:val="22"/>
          <w:szCs w:val="22"/>
        </w:rPr>
        <w:t>Mecanismos de rendición de cuentas y control social, que incluyan herramientas de difusión y acceso a la información.</w:t>
      </w:r>
    </w:p>
    <w:p w14:paraId="67ABD571" w14:textId="77777777" w:rsidR="00DE3C06" w:rsidRPr="000C5171" w:rsidRDefault="00DE3C06" w:rsidP="00DE3C06">
      <w:pPr>
        <w:spacing w:after="0" w:line="276" w:lineRule="auto"/>
        <w:jc w:val="both"/>
        <w:rPr>
          <w:rFonts w:cs="Tahoma"/>
          <w:sz w:val="22"/>
          <w:szCs w:val="22"/>
        </w:rPr>
      </w:pPr>
    </w:p>
    <w:p w14:paraId="46284623" w14:textId="77777777" w:rsidR="00DE3C06" w:rsidRPr="000C5171" w:rsidRDefault="00DE3C06" w:rsidP="00DE3C06">
      <w:pPr>
        <w:spacing w:after="0" w:line="276" w:lineRule="auto"/>
        <w:ind w:left="284"/>
        <w:jc w:val="both"/>
        <w:rPr>
          <w:rFonts w:cs="Tahoma"/>
          <w:sz w:val="22"/>
          <w:szCs w:val="22"/>
        </w:rPr>
      </w:pPr>
      <w:r w:rsidRPr="000C5171">
        <w:rPr>
          <w:rFonts w:cs="Tahoma"/>
          <w:sz w:val="22"/>
          <w:szCs w:val="22"/>
        </w:rPr>
        <w:t>Agregando que: “el PATR se revisará y actualizará cada cinco (5) años de forma participativa en el territorio”</w:t>
      </w:r>
    </w:p>
    <w:p w14:paraId="121790BF" w14:textId="77777777" w:rsidR="00DE3C06" w:rsidRPr="000C5171" w:rsidRDefault="00DE3C06" w:rsidP="00DE3C06">
      <w:pPr>
        <w:tabs>
          <w:tab w:val="left" w:pos="284"/>
        </w:tabs>
        <w:spacing w:after="0" w:line="276" w:lineRule="auto"/>
        <w:ind w:hanging="426"/>
        <w:jc w:val="both"/>
        <w:rPr>
          <w:rStyle w:val="SubttuloCar"/>
          <w:rFonts w:cs="Tahoma"/>
        </w:rPr>
      </w:pPr>
      <w:r w:rsidRPr="000C5171">
        <w:rPr>
          <w:rFonts w:cs="Tahoma"/>
          <w:sz w:val="22"/>
          <w:szCs w:val="22"/>
        </w:rPr>
        <w:t xml:space="preserve"> </w:t>
      </w:r>
    </w:p>
    <w:p w14:paraId="2D18B5AC" w14:textId="77777777" w:rsidR="00DE3C06" w:rsidRPr="000C5171" w:rsidRDefault="00DE3C06" w:rsidP="00DE3C06">
      <w:pPr>
        <w:pStyle w:val="Ttulo1"/>
        <w:spacing w:line="276" w:lineRule="auto"/>
        <w:rPr>
          <w:rStyle w:val="SubttuloCar"/>
          <w:rFonts w:cs="Tahoma"/>
          <w:b/>
          <w:bCs/>
        </w:rPr>
      </w:pPr>
      <w:bookmarkStart w:id="12" w:name="_Toc234168079"/>
      <w:r w:rsidRPr="000C5171">
        <w:rPr>
          <w:rStyle w:val="SubttuloCar"/>
          <w:rFonts w:cs="Tahoma"/>
          <w:b/>
          <w:bCs/>
        </w:rPr>
        <w:t>5.2 Antecedentes, Actividades emprendidas y resultados obtenidos</w:t>
      </w:r>
      <w:bookmarkEnd w:id="12"/>
    </w:p>
    <w:p w14:paraId="27FE497F" w14:textId="77777777" w:rsidR="00DE3C06" w:rsidRPr="000C5171" w:rsidRDefault="00DE3C06" w:rsidP="00DE3C06">
      <w:pPr>
        <w:spacing w:line="276" w:lineRule="auto"/>
        <w:rPr>
          <w:rFonts w:cs="Tahoma"/>
          <w:color w:val="0070C0"/>
          <w:sz w:val="22"/>
          <w:szCs w:val="22"/>
        </w:rPr>
      </w:pPr>
      <w:r w:rsidRPr="000C5171">
        <w:rPr>
          <w:rFonts w:cs="Tahoma"/>
          <w:color w:val="0070C0"/>
          <w:sz w:val="22"/>
          <w:szCs w:val="22"/>
        </w:rPr>
        <w:t>5.2.1 Problemas estructurales en la construcción de los PATR</w:t>
      </w:r>
    </w:p>
    <w:p w14:paraId="615667F3" w14:textId="77777777" w:rsidR="00DE3C06" w:rsidRPr="000C5171" w:rsidRDefault="00DE3C06" w:rsidP="00DE3C06">
      <w:pPr>
        <w:tabs>
          <w:tab w:val="left" w:pos="4536"/>
        </w:tabs>
        <w:spacing w:after="0" w:line="276" w:lineRule="auto"/>
        <w:jc w:val="both"/>
        <w:rPr>
          <w:rFonts w:cs="Tahoma"/>
          <w:sz w:val="22"/>
          <w:szCs w:val="22"/>
        </w:rPr>
      </w:pPr>
      <w:r w:rsidRPr="000C5171">
        <w:rPr>
          <w:rFonts w:cs="Tahoma"/>
          <w:sz w:val="22"/>
          <w:szCs w:val="22"/>
        </w:rPr>
        <w:t>Entre agosto de 2018 y febrero de 2019, con una vigencia de 10 años, fueron construidos los PATR en cada una de las 16 subregiones PDET, establecidas en el artículo 3 del Decreto Ley 893 de 2017 en concordancia con el Acuerdo Final de Paz.</w:t>
      </w:r>
    </w:p>
    <w:p w14:paraId="4ADEB4D0" w14:textId="77777777" w:rsidR="00DE3C06" w:rsidRPr="000C5171" w:rsidRDefault="00DE3C06" w:rsidP="00DE3C06">
      <w:pPr>
        <w:tabs>
          <w:tab w:val="left" w:pos="4536"/>
        </w:tabs>
        <w:spacing w:after="0" w:line="276" w:lineRule="auto"/>
        <w:jc w:val="both"/>
        <w:rPr>
          <w:rFonts w:cs="Tahoma"/>
          <w:sz w:val="22"/>
          <w:szCs w:val="22"/>
        </w:rPr>
      </w:pPr>
    </w:p>
    <w:p w14:paraId="5CCB59BD" w14:textId="77777777" w:rsidR="00DE3C06" w:rsidRPr="000C5171" w:rsidRDefault="00DE3C06" w:rsidP="00DE3C06">
      <w:pPr>
        <w:tabs>
          <w:tab w:val="left" w:pos="4536"/>
        </w:tabs>
        <w:spacing w:after="0" w:line="276" w:lineRule="auto"/>
        <w:jc w:val="both"/>
        <w:rPr>
          <w:rFonts w:cs="Tahoma"/>
          <w:sz w:val="22"/>
          <w:szCs w:val="22"/>
        </w:rPr>
      </w:pPr>
      <w:r w:rsidRPr="000C5171">
        <w:rPr>
          <w:rFonts w:cs="Tahoma"/>
          <w:sz w:val="22"/>
          <w:szCs w:val="22"/>
        </w:rPr>
        <w:t>Si bien, como es ampliamente reconocido, los PATR se formularon de manera participativa, en el proceso de su construcción se evidencian problemas estructurales que han incidido no solo en la implementación de estos, sino en la transformación territorial que es su gran objetivo.</w:t>
      </w:r>
    </w:p>
    <w:p w14:paraId="003EA120" w14:textId="77777777" w:rsidR="00DE3C06" w:rsidRPr="000C5171" w:rsidRDefault="00DE3C06" w:rsidP="00DE3C06">
      <w:pPr>
        <w:tabs>
          <w:tab w:val="left" w:pos="4536"/>
        </w:tabs>
        <w:spacing w:after="0" w:line="276" w:lineRule="auto"/>
        <w:rPr>
          <w:rFonts w:cs="Tahoma"/>
          <w:sz w:val="22"/>
          <w:szCs w:val="22"/>
        </w:rPr>
      </w:pPr>
    </w:p>
    <w:p w14:paraId="7DB7E698" w14:textId="77777777" w:rsidR="00DE3C06" w:rsidRPr="000C5171" w:rsidRDefault="00DE3C06">
      <w:pPr>
        <w:pStyle w:val="Prrafodelista"/>
        <w:numPr>
          <w:ilvl w:val="0"/>
          <w:numId w:val="3"/>
        </w:numPr>
        <w:spacing w:after="0" w:line="276" w:lineRule="auto"/>
        <w:ind w:left="284" w:hanging="284"/>
        <w:jc w:val="both"/>
        <w:rPr>
          <w:rFonts w:cs="Tahoma"/>
          <w:i/>
          <w:iCs/>
          <w:sz w:val="22"/>
          <w:szCs w:val="22"/>
        </w:rPr>
      </w:pPr>
      <w:r w:rsidRPr="000C5171">
        <w:rPr>
          <w:rFonts w:cs="Tahoma"/>
          <w:sz w:val="22"/>
          <w:szCs w:val="22"/>
        </w:rPr>
        <w:t xml:space="preserve">En efecto, a pesar de haberse dispuesto que los PATR debían contar, como arriba se señaló, con un capítulo de programas y proyectos, este capítulo, omitiendo el mandato legal, fue sustituido por de una figura que no está contemplada ni en el Acuerdo Final de Paz ni en la precitada norma, denominada </w:t>
      </w:r>
      <w:r w:rsidRPr="000C5171">
        <w:rPr>
          <w:rFonts w:cs="Tahoma"/>
          <w:i/>
          <w:iCs/>
          <w:sz w:val="22"/>
          <w:szCs w:val="22"/>
        </w:rPr>
        <w:t xml:space="preserve">iniciativas. </w:t>
      </w:r>
    </w:p>
    <w:p w14:paraId="1316483D" w14:textId="77777777" w:rsidR="00DE3C06" w:rsidRPr="000C5171" w:rsidRDefault="00DE3C06" w:rsidP="00DE3C06">
      <w:pPr>
        <w:spacing w:after="0" w:line="276" w:lineRule="auto"/>
        <w:ind w:left="142" w:hanging="284"/>
        <w:rPr>
          <w:rFonts w:cs="Tahoma"/>
          <w:sz w:val="22"/>
          <w:szCs w:val="22"/>
        </w:rPr>
      </w:pPr>
    </w:p>
    <w:p w14:paraId="58DE0721" w14:textId="77777777" w:rsidR="00DE3C06" w:rsidRPr="000C5171" w:rsidRDefault="00DE3C06">
      <w:pPr>
        <w:pStyle w:val="Prrafodelista"/>
        <w:numPr>
          <w:ilvl w:val="0"/>
          <w:numId w:val="3"/>
        </w:numPr>
        <w:spacing w:after="0" w:line="276" w:lineRule="auto"/>
        <w:ind w:left="284" w:hanging="284"/>
        <w:jc w:val="both"/>
        <w:rPr>
          <w:rFonts w:cs="Tahoma"/>
          <w:sz w:val="22"/>
          <w:szCs w:val="22"/>
        </w:rPr>
      </w:pPr>
      <w:r w:rsidRPr="000C5171">
        <w:rPr>
          <w:rFonts w:cs="Tahoma"/>
          <w:sz w:val="22"/>
          <w:szCs w:val="22"/>
        </w:rPr>
        <w:t xml:space="preserve">Bajo la denominación de iniciativas se incluyó un listado, conformado fundamentalmente por propuestas de solución a problemas acumulados por décadas en los territorios beneficiarios de los PDET sin tener en cuenta su costo real, ni claridad de cómo esas iniciativas aseguraban el cumplimiento de los objetivos del PDET. </w:t>
      </w:r>
    </w:p>
    <w:p w14:paraId="58C454F4" w14:textId="77777777" w:rsidR="00DE3C06" w:rsidRPr="000C5171" w:rsidRDefault="00DE3C06" w:rsidP="00DE3C06">
      <w:pPr>
        <w:pStyle w:val="Prrafodelista"/>
        <w:rPr>
          <w:rFonts w:cs="Tahoma"/>
          <w:sz w:val="22"/>
          <w:szCs w:val="22"/>
        </w:rPr>
      </w:pPr>
    </w:p>
    <w:p w14:paraId="7EFBF7EB" w14:textId="77777777" w:rsidR="00DE3C06" w:rsidRPr="000C5171" w:rsidRDefault="00DE3C06">
      <w:pPr>
        <w:pStyle w:val="Prrafodelista"/>
        <w:numPr>
          <w:ilvl w:val="0"/>
          <w:numId w:val="3"/>
        </w:numPr>
        <w:spacing w:after="0" w:line="276" w:lineRule="auto"/>
        <w:ind w:left="284" w:hanging="284"/>
        <w:jc w:val="both"/>
        <w:rPr>
          <w:rFonts w:cs="Tahoma"/>
          <w:sz w:val="22"/>
          <w:szCs w:val="22"/>
        </w:rPr>
      </w:pPr>
      <w:bookmarkStart w:id="13" w:name="_Hlk196390155"/>
      <w:r w:rsidRPr="000C5171">
        <w:rPr>
          <w:rFonts w:cs="Tahoma"/>
          <w:sz w:val="22"/>
          <w:szCs w:val="22"/>
        </w:rPr>
        <w:t>Muchas de las iniciativas fueron formuladas de manera abierta, imprecisa e indeterminada y de difícil cuantificación y medición de su cumplimiento. Además, una sola iniciativa puede abarcar diferentes necesidades y en consecuencia para su implementación requiere de múltiples proyectos y/o gestiones.</w:t>
      </w:r>
    </w:p>
    <w:p w14:paraId="2362E610" w14:textId="77777777" w:rsidR="00DE3C06" w:rsidRPr="000C5171" w:rsidRDefault="00DE3C06" w:rsidP="00DE3C06">
      <w:pPr>
        <w:pStyle w:val="Prrafodelista"/>
        <w:spacing w:line="276" w:lineRule="auto"/>
        <w:ind w:left="284" w:hanging="284"/>
        <w:rPr>
          <w:rFonts w:cs="Tahoma"/>
          <w:sz w:val="22"/>
          <w:szCs w:val="22"/>
        </w:rPr>
      </w:pPr>
    </w:p>
    <w:p w14:paraId="2420B8AC" w14:textId="77777777" w:rsidR="00DE3C06" w:rsidRPr="000C5171" w:rsidRDefault="00DE3C06">
      <w:pPr>
        <w:pStyle w:val="Prrafodelista"/>
        <w:numPr>
          <w:ilvl w:val="0"/>
          <w:numId w:val="3"/>
        </w:numPr>
        <w:spacing w:after="0" w:line="276" w:lineRule="auto"/>
        <w:ind w:left="284" w:hanging="284"/>
        <w:jc w:val="both"/>
        <w:rPr>
          <w:rFonts w:cs="Tahoma"/>
          <w:sz w:val="22"/>
          <w:szCs w:val="22"/>
        </w:rPr>
      </w:pPr>
      <w:r w:rsidRPr="000C5171">
        <w:rPr>
          <w:rFonts w:cs="Tahoma"/>
          <w:sz w:val="22"/>
          <w:szCs w:val="22"/>
        </w:rPr>
        <w:t xml:space="preserve">Actualmente, los 16 PATR en su conjunto contemplan </w:t>
      </w:r>
      <w:r w:rsidRPr="000C5171">
        <w:rPr>
          <w:rFonts w:cs="Tahoma"/>
          <w:b/>
          <w:bCs/>
          <w:sz w:val="22"/>
          <w:szCs w:val="22"/>
        </w:rPr>
        <w:t>33.007 iniciativas</w:t>
      </w:r>
      <w:r w:rsidRPr="000C5171">
        <w:rPr>
          <w:rFonts w:cs="Tahoma"/>
          <w:sz w:val="22"/>
          <w:szCs w:val="22"/>
        </w:rPr>
        <w:t xml:space="preserve">, agrupadas en 8 pilares, un número muy grande para la vigencia de estos planes, más si se considera, como se acaba de señalar que, en muchos casos, para la implementación de una iniciativa se requiere de más de un proyecto o gestión.  </w:t>
      </w:r>
    </w:p>
    <w:p w14:paraId="1659758E" w14:textId="77777777" w:rsidR="00DE3C06" w:rsidRPr="000C5171" w:rsidRDefault="00DE3C06" w:rsidP="00DE3C06">
      <w:pPr>
        <w:pStyle w:val="Prrafodelista"/>
        <w:spacing w:line="276" w:lineRule="auto"/>
        <w:rPr>
          <w:rFonts w:cs="Tahoma"/>
          <w:sz w:val="22"/>
          <w:szCs w:val="22"/>
        </w:rPr>
      </w:pPr>
    </w:p>
    <w:p w14:paraId="00FF7E9D" w14:textId="77777777" w:rsidR="00DE3C06" w:rsidRPr="000C5171" w:rsidRDefault="00DE3C06">
      <w:pPr>
        <w:pStyle w:val="Prrafodelista"/>
        <w:numPr>
          <w:ilvl w:val="0"/>
          <w:numId w:val="3"/>
        </w:numPr>
        <w:tabs>
          <w:tab w:val="left" w:pos="4536"/>
        </w:tabs>
        <w:spacing w:after="0" w:line="276" w:lineRule="auto"/>
        <w:ind w:left="284" w:hanging="284"/>
        <w:jc w:val="both"/>
        <w:rPr>
          <w:rFonts w:cs="Tahoma"/>
          <w:sz w:val="22"/>
          <w:szCs w:val="22"/>
        </w:rPr>
      </w:pPr>
      <w:r w:rsidRPr="000C5171">
        <w:rPr>
          <w:rFonts w:cs="Tahoma"/>
          <w:sz w:val="22"/>
          <w:szCs w:val="22"/>
        </w:rPr>
        <w:lastRenderedPageBreak/>
        <w:t xml:space="preserve">Bajo la figura de la Hoja de Ruta Única (derogada en la Ley 2294 de 2023 del actual Plan Nacional de Desarrollo, Art. 372), se identificaron 4.843 iniciativas como detonantes y dinamizadoras. </w:t>
      </w:r>
    </w:p>
    <w:p w14:paraId="64A8FF16" w14:textId="77777777" w:rsidR="00DE3C06" w:rsidRPr="000C5171" w:rsidRDefault="00DE3C06" w:rsidP="00DE3C06">
      <w:pPr>
        <w:pStyle w:val="Prrafodelista"/>
        <w:spacing w:line="276" w:lineRule="auto"/>
        <w:rPr>
          <w:rFonts w:cs="Tahoma"/>
          <w:sz w:val="22"/>
          <w:szCs w:val="22"/>
        </w:rPr>
      </w:pPr>
    </w:p>
    <w:p w14:paraId="424ED5B8" w14:textId="77777777" w:rsidR="00DE3C06" w:rsidRPr="000C5171" w:rsidRDefault="00DE3C06">
      <w:pPr>
        <w:pStyle w:val="Prrafodelista"/>
        <w:numPr>
          <w:ilvl w:val="0"/>
          <w:numId w:val="3"/>
        </w:numPr>
        <w:tabs>
          <w:tab w:val="left" w:pos="4536"/>
        </w:tabs>
        <w:spacing w:after="0" w:line="276" w:lineRule="auto"/>
        <w:ind w:left="284" w:hanging="284"/>
        <w:jc w:val="both"/>
        <w:rPr>
          <w:rFonts w:cs="Tahoma"/>
          <w:sz w:val="22"/>
          <w:szCs w:val="22"/>
        </w:rPr>
      </w:pPr>
      <w:r w:rsidRPr="000C5171">
        <w:rPr>
          <w:rFonts w:cs="Tahoma"/>
          <w:sz w:val="22"/>
          <w:szCs w:val="22"/>
        </w:rPr>
        <w:t xml:space="preserve">Con la figura de iniciativa, apareció el concepto de </w:t>
      </w:r>
      <w:r w:rsidRPr="000C5171">
        <w:rPr>
          <w:rFonts w:cs="Tahoma"/>
          <w:i/>
          <w:iCs/>
          <w:sz w:val="22"/>
          <w:szCs w:val="22"/>
        </w:rPr>
        <w:t>“Iniciativa con Ruta de Implementación Activa”,</w:t>
      </w:r>
      <w:r w:rsidRPr="000C5171">
        <w:rPr>
          <w:rFonts w:cs="Tahoma"/>
          <w:sz w:val="22"/>
          <w:szCs w:val="22"/>
        </w:rPr>
        <w:t xml:space="preserve"> como el principal indicador de seguimiento de la implementación de los PATR, con la anotación de que una iniciativa se puede activar con un proyecto bien ejecutado que mejoró las condiciones de vida de una determinada comunidad, pero también con la mera suscripción de un convenio para apenas estructurar un proyecto.</w:t>
      </w:r>
    </w:p>
    <w:p w14:paraId="6569DA45" w14:textId="77777777" w:rsidR="00DE3C06" w:rsidRPr="000C5171" w:rsidRDefault="00DE3C06" w:rsidP="00DE3C06">
      <w:pPr>
        <w:tabs>
          <w:tab w:val="left" w:pos="4536"/>
        </w:tabs>
        <w:spacing w:after="0" w:line="276" w:lineRule="auto"/>
        <w:jc w:val="both"/>
        <w:rPr>
          <w:rFonts w:cs="Tahoma"/>
          <w:sz w:val="22"/>
          <w:szCs w:val="22"/>
        </w:rPr>
      </w:pPr>
    </w:p>
    <w:p w14:paraId="28E76E85" w14:textId="77777777" w:rsidR="00DE3C06" w:rsidRPr="000C5171" w:rsidRDefault="00DE3C06">
      <w:pPr>
        <w:pStyle w:val="Prrafodelista"/>
        <w:numPr>
          <w:ilvl w:val="0"/>
          <w:numId w:val="3"/>
        </w:numPr>
        <w:tabs>
          <w:tab w:val="left" w:pos="4536"/>
        </w:tabs>
        <w:spacing w:after="0" w:line="276" w:lineRule="auto"/>
        <w:ind w:left="284" w:hanging="284"/>
        <w:jc w:val="both"/>
        <w:rPr>
          <w:rFonts w:cs="Tahoma"/>
          <w:sz w:val="22"/>
          <w:szCs w:val="22"/>
        </w:rPr>
      </w:pPr>
      <w:r w:rsidRPr="000C5171">
        <w:rPr>
          <w:rFonts w:cs="Tahoma"/>
          <w:sz w:val="22"/>
          <w:szCs w:val="22"/>
        </w:rPr>
        <w:t xml:space="preserve">El desarrollo de los enfoques diferenciales: étnico, de género y reparador se limitó a una marcación de las iniciativas con etiquetas (propias étnicas, común étnica, no étnicas, mujer rural y víctimas respectivamente), que no da cuenta de una real aplicación de estos. </w:t>
      </w:r>
    </w:p>
    <w:p w14:paraId="5187BBE8" w14:textId="77777777" w:rsidR="00DE3C06" w:rsidRPr="000C5171" w:rsidRDefault="00DE3C06" w:rsidP="00DE3C06">
      <w:pPr>
        <w:pStyle w:val="Prrafodelista"/>
        <w:rPr>
          <w:rFonts w:cs="Tahoma"/>
          <w:sz w:val="22"/>
          <w:szCs w:val="22"/>
        </w:rPr>
      </w:pPr>
    </w:p>
    <w:p w14:paraId="5F409A15" w14:textId="77777777" w:rsidR="00DE3C06" w:rsidRPr="000C5171" w:rsidRDefault="00DE3C06">
      <w:pPr>
        <w:pStyle w:val="Prrafodelista"/>
        <w:numPr>
          <w:ilvl w:val="0"/>
          <w:numId w:val="3"/>
        </w:numPr>
        <w:tabs>
          <w:tab w:val="left" w:pos="4536"/>
        </w:tabs>
        <w:spacing w:after="0" w:line="276" w:lineRule="auto"/>
        <w:ind w:left="284" w:hanging="284"/>
        <w:jc w:val="both"/>
        <w:rPr>
          <w:rFonts w:cs="Tahoma"/>
          <w:sz w:val="22"/>
          <w:szCs w:val="22"/>
        </w:rPr>
      </w:pPr>
      <w:r w:rsidRPr="000C5171">
        <w:rPr>
          <w:rFonts w:cs="Tahoma"/>
          <w:sz w:val="22"/>
          <w:szCs w:val="22"/>
        </w:rPr>
        <w:t xml:space="preserve">La relación de las 33.007 iniciativas con su respectiva caracterización por subregión, pilar estado de activación, priorización, característica de detonante y dinamizadora y etiquetado se puede consultar en el portal público de Central PDET, ingresando mediante el siguiente enlace: </w:t>
      </w:r>
      <w:hyperlink r:id="rId17">
        <w:r w:rsidRPr="000C5171">
          <w:rPr>
            <w:rStyle w:val="Hipervnculo"/>
            <w:rFonts w:cs="Tahoma"/>
            <w:sz w:val="22"/>
            <w:szCs w:val="22"/>
          </w:rPr>
          <w:t>https://centralpdet.renovacionterritorio.gov.co/avance-en-iniciativas/</w:t>
        </w:r>
      </w:hyperlink>
      <w:r w:rsidRPr="000C5171">
        <w:rPr>
          <w:rFonts w:cs="Tahoma"/>
          <w:sz w:val="22"/>
          <w:szCs w:val="22"/>
        </w:rPr>
        <w:t xml:space="preserve"> </w:t>
      </w:r>
    </w:p>
    <w:p w14:paraId="4C63F98F" w14:textId="77777777" w:rsidR="00DE3C06" w:rsidRPr="000C5171" w:rsidRDefault="00DE3C06" w:rsidP="00DE3C06">
      <w:pPr>
        <w:spacing w:after="0" w:line="276" w:lineRule="auto"/>
        <w:rPr>
          <w:rFonts w:cs="Tahoma"/>
          <w:sz w:val="22"/>
          <w:szCs w:val="22"/>
        </w:rPr>
      </w:pPr>
    </w:p>
    <w:bookmarkEnd w:id="13"/>
    <w:p w14:paraId="3269CC4D" w14:textId="77777777" w:rsidR="00DE3C06" w:rsidRPr="000C5171" w:rsidRDefault="00DE3C06">
      <w:pPr>
        <w:pStyle w:val="Prrafodelista"/>
        <w:numPr>
          <w:ilvl w:val="0"/>
          <w:numId w:val="3"/>
        </w:numPr>
        <w:spacing w:after="0" w:line="276" w:lineRule="auto"/>
        <w:ind w:left="284" w:hanging="284"/>
        <w:jc w:val="both"/>
        <w:rPr>
          <w:rFonts w:cs="Tahoma"/>
          <w:sz w:val="22"/>
          <w:szCs w:val="22"/>
        </w:rPr>
      </w:pPr>
      <w:r w:rsidRPr="000C5171">
        <w:rPr>
          <w:rFonts w:cs="Tahoma"/>
          <w:sz w:val="22"/>
          <w:szCs w:val="22"/>
        </w:rPr>
        <w:t>De otra parte, debe tenerse en cuenta que, en contravía de lo dispuesto en el Acuerdo de Paz, los PATR fueron formulados antes de la adopción de los Planes Nacionales Sectoriales de la Reforma Rural Integral y sin participación de los sectores responsables de los mismos, lo cual desde un inicio dificultó la articulación interinstitucional para la implementación de los mencionados PATR.</w:t>
      </w:r>
    </w:p>
    <w:p w14:paraId="1FCF6849" w14:textId="77777777" w:rsidR="00DE3C06" w:rsidRPr="000C5171" w:rsidRDefault="00DE3C06" w:rsidP="00DE3C06">
      <w:pPr>
        <w:pStyle w:val="Prrafodelista"/>
        <w:spacing w:after="0" w:line="276" w:lineRule="auto"/>
        <w:ind w:left="284"/>
        <w:jc w:val="both"/>
        <w:rPr>
          <w:rFonts w:cs="Tahoma"/>
          <w:sz w:val="22"/>
          <w:szCs w:val="22"/>
        </w:rPr>
      </w:pPr>
    </w:p>
    <w:p w14:paraId="72E088D7" w14:textId="77777777" w:rsidR="00DE3C06" w:rsidRPr="000C5171" w:rsidRDefault="00DE3C06">
      <w:pPr>
        <w:pStyle w:val="Prrafodelista"/>
        <w:numPr>
          <w:ilvl w:val="0"/>
          <w:numId w:val="3"/>
        </w:numPr>
        <w:spacing w:after="0" w:line="276" w:lineRule="auto"/>
        <w:ind w:left="284" w:hanging="284"/>
        <w:jc w:val="both"/>
        <w:rPr>
          <w:rFonts w:cs="Tahoma"/>
          <w:sz w:val="22"/>
          <w:szCs w:val="22"/>
        </w:rPr>
      </w:pPr>
      <w:r w:rsidRPr="000C5171">
        <w:rPr>
          <w:rFonts w:cs="Tahoma"/>
          <w:sz w:val="22"/>
          <w:szCs w:val="22"/>
        </w:rPr>
        <w:t xml:space="preserve">A su vez, el documento CONPES 3932 de 2018 realizó una proyección de costos para la implementación de los PDET, para el periodo comprendido del 2017 al 2027, según las fuentes de financiación establecidas, así: </w:t>
      </w:r>
    </w:p>
    <w:p w14:paraId="2AEE9585" w14:textId="77777777" w:rsidR="00DE3C06" w:rsidRPr="000C5171" w:rsidRDefault="00DE3C06" w:rsidP="00DE3C06">
      <w:pPr>
        <w:spacing w:line="276" w:lineRule="auto"/>
        <w:ind w:left="360"/>
        <w:jc w:val="center"/>
        <w:rPr>
          <w:rFonts w:eastAsia="Arial Narrow" w:cs="Tahoma"/>
          <w:b/>
          <w:bCs/>
          <w:sz w:val="22"/>
          <w:szCs w:val="22"/>
        </w:rPr>
      </w:pPr>
      <w:r w:rsidRPr="000C5171">
        <w:rPr>
          <w:rFonts w:eastAsia="Arial Narrow" w:cs="Tahoma"/>
          <w:b/>
          <w:bCs/>
          <w:sz w:val="22"/>
          <w:szCs w:val="22"/>
        </w:rPr>
        <w:t>Tabla 1. Costo total del PDET</w:t>
      </w:r>
    </w:p>
    <w:tbl>
      <w:tblPr>
        <w:tblStyle w:val="Tablaconcuadrcula1clara1"/>
        <w:tblW w:w="8408" w:type="dxa"/>
        <w:tblInd w:w="476" w:type="dxa"/>
        <w:tblLook w:val="04A0" w:firstRow="1" w:lastRow="0" w:firstColumn="1" w:lastColumn="0" w:noHBand="0" w:noVBand="1"/>
      </w:tblPr>
      <w:tblGrid>
        <w:gridCol w:w="4275"/>
        <w:gridCol w:w="4133"/>
      </w:tblGrid>
      <w:tr w:rsidR="00DE3C06" w:rsidRPr="000C5171" w14:paraId="028A61D7" w14:textId="77777777" w:rsidTr="008A49D0">
        <w:trPr>
          <w:cnfStyle w:val="100000000000" w:firstRow="1" w:lastRow="0" w:firstColumn="0" w:lastColumn="0" w:oddVBand="0" w:evenVBand="0" w:oddHBand="0" w:evenHBand="0" w:firstRowFirstColumn="0" w:firstRowLastColumn="0" w:lastRowFirstColumn="0" w:lastRowLastColumn="0"/>
          <w:trHeight w:val="18"/>
          <w:tblHeader/>
        </w:trPr>
        <w:tc>
          <w:tcPr>
            <w:cnfStyle w:val="001000000000" w:firstRow="0" w:lastRow="0" w:firstColumn="1" w:lastColumn="0" w:oddVBand="0" w:evenVBand="0" w:oddHBand="0" w:evenHBand="0" w:firstRowFirstColumn="0" w:firstRowLastColumn="0" w:lastRowFirstColumn="0" w:lastRowLastColumn="0"/>
            <w:tcW w:w="427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C1F0C7" w:themeFill="accent3" w:themeFillTint="33"/>
            <w:hideMark/>
          </w:tcPr>
          <w:p w14:paraId="1DEADB12" w14:textId="77777777" w:rsidR="00DE3C06" w:rsidRPr="000C5171" w:rsidRDefault="00DE3C06" w:rsidP="008A49D0">
            <w:pPr>
              <w:jc w:val="center"/>
              <w:rPr>
                <w:rFonts w:asciiTheme="minorHAnsi" w:hAnsiTheme="minorHAnsi" w:cs="Arial"/>
                <w:b w:val="0"/>
                <w:color w:val="124F1A" w:themeColor="accent3" w:themeShade="BF"/>
                <w:sz w:val="22"/>
                <w:szCs w:val="22"/>
                <w:lang w:val="es-CO" w:eastAsia="es-MX"/>
              </w:rPr>
            </w:pPr>
            <w:r w:rsidRPr="000C5171">
              <w:rPr>
                <w:rFonts w:asciiTheme="minorHAnsi" w:hAnsiTheme="minorHAnsi" w:cs="Arial"/>
                <w:color w:val="124F1A" w:themeColor="accent3" w:themeShade="BF"/>
                <w:sz w:val="22"/>
                <w:szCs w:val="22"/>
                <w:lang w:val="es-CO" w:eastAsia="es-MX"/>
              </w:rPr>
              <w:t>Fuentes de Financiamiento</w:t>
            </w:r>
          </w:p>
        </w:tc>
        <w:tc>
          <w:tcPr>
            <w:tcW w:w="413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C1F0C7" w:themeFill="accent3" w:themeFillTint="33"/>
            <w:hideMark/>
          </w:tcPr>
          <w:p w14:paraId="55E30D84" w14:textId="77777777" w:rsidR="00DE3C06" w:rsidRPr="000C5171" w:rsidRDefault="00DE3C06" w:rsidP="008A49D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b w:val="0"/>
                <w:color w:val="124F1A" w:themeColor="accent3" w:themeShade="BF"/>
                <w:sz w:val="22"/>
                <w:szCs w:val="22"/>
                <w:lang w:val="es-CO" w:eastAsia="es-MX"/>
              </w:rPr>
            </w:pPr>
            <w:r w:rsidRPr="000C5171">
              <w:rPr>
                <w:rFonts w:asciiTheme="minorHAnsi" w:hAnsiTheme="minorHAnsi" w:cs="Arial"/>
                <w:color w:val="124F1A" w:themeColor="accent3" w:themeShade="BF"/>
                <w:sz w:val="22"/>
                <w:szCs w:val="22"/>
                <w:lang w:val="es-CO" w:eastAsia="es-MX"/>
              </w:rPr>
              <w:t>Recursos en billones de pesos, precios constantes de 2016</w:t>
            </w:r>
            <w:r w:rsidRPr="000C5171">
              <w:rPr>
                <w:rStyle w:val="Refdenotaalpie"/>
                <w:rFonts w:asciiTheme="minorHAnsi" w:hAnsiTheme="minorHAnsi" w:cs="Arial"/>
                <w:color w:val="124F1A" w:themeColor="accent3" w:themeShade="BF"/>
                <w:sz w:val="22"/>
                <w:szCs w:val="22"/>
                <w:lang w:val="es-CO" w:eastAsia="es-MX"/>
              </w:rPr>
              <w:footnoteReference w:id="13"/>
            </w:r>
          </w:p>
        </w:tc>
      </w:tr>
      <w:tr w:rsidR="00DE3C06" w:rsidRPr="000C5171" w14:paraId="092623A2" w14:textId="77777777" w:rsidTr="008A49D0">
        <w:trPr>
          <w:trHeight w:val="18"/>
        </w:trPr>
        <w:tc>
          <w:tcPr>
            <w:cnfStyle w:val="001000000000" w:firstRow="0" w:lastRow="0" w:firstColumn="1" w:lastColumn="0" w:oddVBand="0" w:evenVBand="0" w:oddHBand="0" w:evenHBand="0" w:firstRowFirstColumn="0" w:firstRowLastColumn="0" w:lastRowFirstColumn="0" w:lastRowLastColumn="0"/>
            <w:tcW w:w="427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1D82344" w14:textId="77777777" w:rsidR="00DE3C06" w:rsidRPr="000C5171" w:rsidRDefault="00DE3C06" w:rsidP="008A49D0">
            <w:pPr>
              <w:rPr>
                <w:rFonts w:asciiTheme="minorHAnsi" w:hAnsiTheme="minorHAnsi" w:cs="Arial"/>
                <w:color w:val="124F1A" w:themeColor="accent3" w:themeShade="BF"/>
                <w:sz w:val="22"/>
                <w:szCs w:val="22"/>
                <w:lang w:val="es-CO" w:eastAsia="es-MX"/>
              </w:rPr>
            </w:pPr>
            <w:r w:rsidRPr="000C5171">
              <w:rPr>
                <w:rFonts w:asciiTheme="minorHAnsi" w:hAnsiTheme="minorHAnsi" w:cs="Arial"/>
                <w:color w:val="124F1A" w:themeColor="accent3" w:themeShade="BF"/>
                <w:sz w:val="22"/>
                <w:szCs w:val="22"/>
                <w:lang w:val="es-CO" w:eastAsia="es-MX"/>
              </w:rPr>
              <w:t>PGN</w:t>
            </w:r>
          </w:p>
        </w:tc>
        <w:tc>
          <w:tcPr>
            <w:tcW w:w="413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BCD96FD" w14:textId="77777777" w:rsidR="00DE3C06" w:rsidRPr="000C5171" w:rsidRDefault="00DE3C06" w:rsidP="008A49D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24F1A" w:themeColor="accent3" w:themeShade="BF"/>
                <w:sz w:val="22"/>
                <w:szCs w:val="22"/>
                <w:lang w:val="es-CO" w:eastAsia="es-MX"/>
              </w:rPr>
            </w:pPr>
            <w:r w:rsidRPr="000C5171">
              <w:rPr>
                <w:rFonts w:asciiTheme="minorHAnsi" w:hAnsiTheme="minorHAnsi" w:cs="Arial"/>
                <w:color w:val="124F1A" w:themeColor="accent3" w:themeShade="BF"/>
                <w:sz w:val="22"/>
                <w:szCs w:val="22"/>
                <w:lang w:val="es-CO" w:eastAsia="es-MX"/>
              </w:rPr>
              <w:t>15,4</w:t>
            </w:r>
          </w:p>
        </w:tc>
      </w:tr>
      <w:tr w:rsidR="00DE3C06" w:rsidRPr="000C5171" w14:paraId="6AB492D6" w14:textId="77777777" w:rsidTr="008A49D0">
        <w:trPr>
          <w:trHeight w:val="18"/>
        </w:trPr>
        <w:tc>
          <w:tcPr>
            <w:cnfStyle w:val="001000000000" w:firstRow="0" w:lastRow="0" w:firstColumn="1" w:lastColumn="0" w:oddVBand="0" w:evenVBand="0" w:oddHBand="0" w:evenHBand="0" w:firstRowFirstColumn="0" w:firstRowLastColumn="0" w:lastRowFirstColumn="0" w:lastRowLastColumn="0"/>
            <w:tcW w:w="427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731A86A" w14:textId="77777777" w:rsidR="00DE3C06" w:rsidRPr="000C5171" w:rsidRDefault="00DE3C06" w:rsidP="008A49D0">
            <w:pPr>
              <w:rPr>
                <w:rFonts w:asciiTheme="minorHAnsi" w:hAnsiTheme="minorHAnsi" w:cs="Arial"/>
                <w:color w:val="124F1A" w:themeColor="accent3" w:themeShade="BF"/>
                <w:sz w:val="22"/>
                <w:szCs w:val="22"/>
                <w:lang w:val="es-CO" w:eastAsia="es-MX"/>
              </w:rPr>
            </w:pPr>
            <w:r w:rsidRPr="000C5171">
              <w:rPr>
                <w:rFonts w:asciiTheme="minorHAnsi" w:hAnsiTheme="minorHAnsi" w:cs="Arial"/>
                <w:color w:val="124F1A" w:themeColor="accent3" w:themeShade="BF"/>
                <w:sz w:val="22"/>
                <w:szCs w:val="22"/>
                <w:lang w:val="es-CO" w:eastAsia="es-MX"/>
              </w:rPr>
              <w:t>OCAD Paz</w:t>
            </w:r>
          </w:p>
        </w:tc>
        <w:tc>
          <w:tcPr>
            <w:tcW w:w="413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716A493" w14:textId="77777777" w:rsidR="00DE3C06" w:rsidRPr="000C5171" w:rsidRDefault="00DE3C06" w:rsidP="008A49D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24F1A" w:themeColor="accent3" w:themeShade="BF"/>
                <w:sz w:val="22"/>
                <w:szCs w:val="22"/>
                <w:lang w:val="es-CO" w:eastAsia="es-MX"/>
              </w:rPr>
            </w:pPr>
            <w:r w:rsidRPr="000C5171">
              <w:rPr>
                <w:rFonts w:asciiTheme="minorHAnsi" w:hAnsiTheme="minorHAnsi" w:cs="Arial"/>
                <w:color w:val="124F1A" w:themeColor="accent3" w:themeShade="BF"/>
                <w:sz w:val="22"/>
                <w:szCs w:val="22"/>
                <w:lang w:val="es-CO" w:eastAsia="es-MX"/>
              </w:rPr>
              <w:t>4,4</w:t>
            </w:r>
          </w:p>
        </w:tc>
      </w:tr>
      <w:tr w:rsidR="00DE3C06" w:rsidRPr="000C5171" w14:paraId="0825B5E8" w14:textId="77777777" w:rsidTr="008A49D0">
        <w:trPr>
          <w:trHeight w:val="18"/>
        </w:trPr>
        <w:tc>
          <w:tcPr>
            <w:cnfStyle w:val="001000000000" w:firstRow="0" w:lastRow="0" w:firstColumn="1" w:lastColumn="0" w:oddVBand="0" w:evenVBand="0" w:oddHBand="0" w:evenHBand="0" w:firstRowFirstColumn="0" w:firstRowLastColumn="0" w:lastRowFirstColumn="0" w:lastRowLastColumn="0"/>
            <w:tcW w:w="427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C720A1D" w14:textId="77777777" w:rsidR="00DE3C06" w:rsidRPr="000C5171" w:rsidRDefault="00DE3C06" w:rsidP="008A49D0">
            <w:pPr>
              <w:rPr>
                <w:rFonts w:asciiTheme="minorHAnsi" w:hAnsiTheme="minorHAnsi" w:cs="Arial"/>
                <w:color w:val="124F1A" w:themeColor="accent3" w:themeShade="BF"/>
                <w:sz w:val="22"/>
                <w:szCs w:val="22"/>
                <w:lang w:val="es-CO" w:eastAsia="es-MX"/>
              </w:rPr>
            </w:pPr>
            <w:r w:rsidRPr="000C5171">
              <w:rPr>
                <w:rFonts w:asciiTheme="minorHAnsi" w:hAnsiTheme="minorHAnsi" w:cs="Arial"/>
                <w:color w:val="124F1A" w:themeColor="accent3" w:themeShade="BF"/>
                <w:sz w:val="22"/>
                <w:szCs w:val="22"/>
                <w:lang w:val="es-CO" w:eastAsia="es-MX"/>
              </w:rPr>
              <w:t>SGR Ordinario</w:t>
            </w:r>
          </w:p>
        </w:tc>
        <w:tc>
          <w:tcPr>
            <w:tcW w:w="413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DFAC35E" w14:textId="77777777" w:rsidR="00DE3C06" w:rsidRPr="000C5171" w:rsidRDefault="00DE3C06" w:rsidP="008A49D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24F1A" w:themeColor="accent3" w:themeShade="BF"/>
                <w:sz w:val="22"/>
                <w:szCs w:val="22"/>
                <w:lang w:val="es-CO" w:eastAsia="es-MX"/>
              </w:rPr>
            </w:pPr>
            <w:r w:rsidRPr="000C5171">
              <w:rPr>
                <w:rFonts w:asciiTheme="minorHAnsi" w:hAnsiTheme="minorHAnsi" w:cs="Arial"/>
                <w:color w:val="124F1A" w:themeColor="accent3" w:themeShade="BF"/>
                <w:sz w:val="22"/>
                <w:szCs w:val="22"/>
                <w:lang w:val="es-CO" w:eastAsia="es-MX"/>
              </w:rPr>
              <w:t>3,9</w:t>
            </w:r>
          </w:p>
        </w:tc>
      </w:tr>
      <w:tr w:rsidR="00DE3C06" w:rsidRPr="000C5171" w14:paraId="70EF584F" w14:textId="77777777" w:rsidTr="008A49D0">
        <w:trPr>
          <w:trHeight w:val="18"/>
        </w:trPr>
        <w:tc>
          <w:tcPr>
            <w:cnfStyle w:val="001000000000" w:firstRow="0" w:lastRow="0" w:firstColumn="1" w:lastColumn="0" w:oddVBand="0" w:evenVBand="0" w:oddHBand="0" w:evenHBand="0" w:firstRowFirstColumn="0" w:firstRowLastColumn="0" w:lastRowFirstColumn="0" w:lastRowLastColumn="0"/>
            <w:tcW w:w="427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9C04712" w14:textId="77777777" w:rsidR="00DE3C06" w:rsidRPr="000C5171" w:rsidRDefault="00DE3C06" w:rsidP="008A49D0">
            <w:pPr>
              <w:rPr>
                <w:rFonts w:asciiTheme="minorHAnsi" w:hAnsiTheme="minorHAnsi" w:cs="Arial"/>
                <w:color w:val="124F1A" w:themeColor="accent3" w:themeShade="BF"/>
                <w:sz w:val="22"/>
                <w:szCs w:val="22"/>
                <w:lang w:val="es-CO" w:eastAsia="es-MX"/>
              </w:rPr>
            </w:pPr>
            <w:r w:rsidRPr="000C5171">
              <w:rPr>
                <w:rFonts w:asciiTheme="minorHAnsi" w:hAnsiTheme="minorHAnsi" w:cs="Arial"/>
                <w:color w:val="124F1A" w:themeColor="accent3" w:themeShade="BF"/>
                <w:sz w:val="22"/>
                <w:szCs w:val="22"/>
                <w:lang w:val="es-CO" w:eastAsia="es-MX"/>
              </w:rPr>
              <w:t>Recursos Propios</w:t>
            </w:r>
          </w:p>
        </w:tc>
        <w:tc>
          <w:tcPr>
            <w:tcW w:w="413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0734372" w14:textId="77777777" w:rsidR="00DE3C06" w:rsidRPr="000C5171" w:rsidRDefault="00DE3C06" w:rsidP="008A49D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24F1A" w:themeColor="accent3" w:themeShade="BF"/>
                <w:sz w:val="22"/>
                <w:szCs w:val="22"/>
                <w:lang w:val="es-CO" w:eastAsia="es-MX"/>
              </w:rPr>
            </w:pPr>
            <w:r w:rsidRPr="000C5171">
              <w:rPr>
                <w:rFonts w:asciiTheme="minorHAnsi" w:hAnsiTheme="minorHAnsi" w:cs="Arial"/>
                <w:color w:val="124F1A" w:themeColor="accent3" w:themeShade="BF"/>
                <w:sz w:val="22"/>
                <w:szCs w:val="22"/>
                <w:lang w:val="es-CO" w:eastAsia="es-MX"/>
              </w:rPr>
              <w:t>4,3</w:t>
            </w:r>
          </w:p>
        </w:tc>
      </w:tr>
      <w:tr w:rsidR="00DE3C06" w:rsidRPr="000C5171" w14:paraId="0829C39C" w14:textId="77777777" w:rsidTr="008A49D0">
        <w:trPr>
          <w:trHeight w:val="18"/>
        </w:trPr>
        <w:tc>
          <w:tcPr>
            <w:cnfStyle w:val="001000000000" w:firstRow="0" w:lastRow="0" w:firstColumn="1" w:lastColumn="0" w:oddVBand="0" w:evenVBand="0" w:oddHBand="0" w:evenHBand="0" w:firstRowFirstColumn="0" w:firstRowLastColumn="0" w:lastRowFirstColumn="0" w:lastRowLastColumn="0"/>
            <w:tcW w:w="427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91BBE1F" w14:textId="77777777" w:rsidR="00DE3C06" w:rsidRPr="000C5171" w:rsidRDefault="00DE3C06" w:rsidP="008A49D0">
            <w:pPr>
              <w:rPr>
                <w:rFonts w:asciiTheme="minorHAnsi" w:hAnsiTheme="minorHAnsi" w:cs="Arial"/>
                <w:color w:val="124F1A" w:themeColor="accent3" w:themeShade="BF"/>
                <w:sz w:val="22"/>
                <w:szCs w:val="22"/>
                <w:lang w:val="es-CO" w:eastAsia="es-MX"/>
              </w:rPr>
            </w:pPr>
            <w:r w:rsidRPr="000C5171">
              <w:rPr>
                <w:rFonts w:asciiTheme="minorHAnsi" w:hAnsiTheme="minorHAnsi" w:cs="Arial"/>
                <w:color w:val="124F1A" w:themeColor="accent3" w:themeShade="BF"/>
                <w:sz w:val="22"/>
                <w:szCs w:val="22"/>
                <w:lang w:val="es-CO" w:eastAsia="es-MX"/>
              </w:rPr>
              <w:t>Sistema General de Participaciones</w:t>
            </w:r>
          </w:p>
        </w:tc>
        <w:tc>
          <w:tcPr>
            <w:tcW w:w="413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85962A3" w14:textId="77777777" w:rsidR="00DE3C06" w:rsidRPr="000C5171" w:rsidRDefault="00DE3C06" w:rsidP="008A49D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24F1A" w:themeColor="accent3" w:themeShade="BF"/>
                <w:sz w:val="22"/>
                <w:szCs w:val="22"/>
                <w:lang w:val="es-CO" w:eastAsia="es-MX"/>
              </w:rPr>
            </w:pPr>
            <w:r w:rsidRPr="000C5171">
              <w:rPr>
                <w:rFonts w:asciiTheme="minorHAnsi" w:hAnsiTheme="minorHAnsi" w:cs="Arial"/>
                <w:color w:val="124F1A" w:themeColor="accent3" w:themeShade="BF"/>
                <w:sz w:val="22"/>
                <w:szCs w:val="22"/>
                <w:lang w:val="es-CO" w:eastAsia="es-MX"/>
              </w:rPr>
              <w:t>47,7</w:t>
            </w:r>
          </w:p>
        </w:tc>
      </w:tr>
      <w:tr w:rsidR="00DE3C06" w:rsidRPr="000C5171" w14:paraId="4D347130" w14:textId="77777777" w:rsidTr="008A49D0">
        <w:trPr>
          <w:trHeight w:val="18"/>
        </w:trPr>
        <w:tc>
          <w:tcPr>
            <w:cnfStyle w:val="001000000000" w:firstRow="0" w:lastRow="0" w:firstColumn="1" w:lastColumn="0" w:oddVBand="0" w:evenVBand="0" w:oddHBand="0" w:evenHBand="0" w:firstRowFirstColumn="0" w:firstRowLastColumn="0" w:lastRowFirstColumn="0" w:lastRowLastColumn="0"/>
            <w:tcW w:w="427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541FA95" w14:textId="77777777" w:rsidR="00DE3C06" w:rsidRPr="000C5171" w:rsidRDefault="00DE3C06" w:rsidP="008A49D0">
            <w:pPr>
              <w:rPr>
                <w:rFonts w:asciiTheme="minorHAnsi" w:hAnsiTheme="minorHAnsi" w:cs="Arial"/>
                <w:color w:val="124F1A" w:themeColor="accent3" w:themeShade="BF"/>
                <w:sz w:val="22"/>
                <w:szCs w:val="22"/>
                <w:lang w:val="es-CO" w:eastAsia="es-MX"/>
              </w:rPr>
            </w:pPr>
            <w:r w:rsidRPr="000C5171">
              <w:rPr>
                <w:rFonts w:asciiTheme="minorHAnsi" w:hAnsiTheme="minorHAnsi" w:cs="Arial"/>
                <w:color w:val="124F1A" w:themeColor="accent3" w:themeShade="BF"/>
                <w:sz w:val="22"/>
                <w:szCs w:val="22"/>
                <w:lang w:val="es-CO" w:eastAsia="es-MX"/>
              </w:rPr>
              <w:t>Cooperación y Privados</w:t>
            </w:r>
          </w:p>
        </w:tc>
        <w:tc>
          <w:tcPr>
            <w:tcW w:w="413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F3707D7" w14:textId="77777777" w:rsidR="00DE3C06" w:rsidRPr="000C5171" w:rsidRDefault="00DE3C06" w:rsidP="008A49D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24F1A" w:themeColor="accent3" w:themeShade="BF"/>
                <w:sz w:val="22"/>
                <w:szCs w:val="22"/>
                <w:lang w:val="es-CO" w:eastAsia="es-MX"/>
              </w:rPr>
            </w:pPr>
            <w:r w:rsidRPr="000C5171">
              <w:rPr>
                <w:rFonts w:asciiTheme="minorHAnsi" w:hAnsiTheme="minorHAnsi" w:cs="Arial"/>
                <w:color w:val="124F1A" w:themeColor="accent3" w:themeShade="BF"/>
                <w:sz w:val="22"/>
                <w:szCs w:val="22"/>
                <w:lang w:val="es-CO" w:eastAsia="es-MX"/>
              </w:rPr>
              <w:t>3,9</w:t>
            </w:r>
          </w:p>
        </w:tc>
      </w:tr>
      <w:tr w:rsidR="00DE3C06" w:rsidRPr="000C5171" w14:paraId="203065FD" w14:textId="77777777" w:rsidTr="008A49D0">
        <w:trPr>
          <w:trHeight w:val="18"/>
        </w:trPr>
        <w:tc>
          <w:tcPr>
            <w:cnfStyle w:val="001000000000" w:firstRow="0" w:lastRow="0" w:firstColumn="1" w:lastColumn="0" w:oddVBand="0" w:evenVBand="0" w:oddHBand="0" w:evenHBand="0" w:firstRowFirstColumn="0" w:firstRowLastColumn="0" w:lastRowFirstColumn="0" w:lastRowLastColumn="0"/>
            <w:tcW w:w="427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FE70D1C" w14:textId="77777777" w:rsidR="00DE3C06" w:rsidRPr="000C5171" w:rsidRDefault="00DE3C06" w:rsidP="008A49D0">
            <w:pPr>
              <w:rPr>
                <w:rFonts w:asciiTheme="minorHAnsi" w:hAnsiTheme="minorHAnsi" w:cs="Arial"/>
                <w:b w:val="0"/>
                <w:color w:val="124F1A" w:themeColor="accent3" w:themeShade="BF"/>
                <w:sz w:val="22"/>
                <w:szCs w:val="22"/>
                <w:lang w:val="es-CO" w:eastAsia="es-MX"/>
              </w:rPr>
            </w:pPr>
            <w:r w:rsidRPr="000C5171">
              <w:rPr>
                <w:rFonts w:asciiTheme="minorHAnsi" w:hAnsiTheme="minorHAnsi" w:cs="Arial"/>
                <w:color w:val="124F1A" w:themeColor="accent3" w:themeShade="BF"/>
                <w:sz w:val="22"/>
                <w:szCs w:val="22"/>
                <w:lang w:val="es-CO" w:eastAsia="es-MX"/>
              </w:rPr>
              <w:lastRenderedPageBreak/>
              <w:t>Total</w:t>
            </w:r>
          </w:p>
        </w:tc>
        <w:tc>
          <w:tcPr>
            <w:tcW w:w="413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DEEE0BD" w14:textId="77777777" w:rsidR="00DE3C06" w:rsidRPr="000C5171" w:rsidRDefault="00DE3C06" w:rsidP="008A49D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
                <w:color w:val="124F1A" w:themeColor="accent3" w:themeShade="BF"/>
                <w:sz w:val="22"/>
                <w:szCs w:val="22"/>
                <w:lang w:val="es-CO" w:eastAsia="es-MX"/>
              </w:rPr>
            </w:pPr>
            <w:r w:rsidRPr="000C5171">
              <w:rPr>
                <w:rFonts w:asciiTheme="minorHAnsi" w:hAnsiTheme="minorHAnsi" w:cs="Arial"/>
                <w:b/>
                <w:color w:val="124F1A" w:themeColor="accent3" w:themeShade="BF"/>
                <w:sz w:val="22"/>
                <w:szCs w:val="22"/>
                <w:lang w:val="es-CO" w:eastAsia="es-MX"/>
              </w:rPr>
              <w:t>79,6</w:t>
            </w:r>
          </w:p>
        </w:tc>
      </w:tr>
    </w:tbl>
    <w:p w14:paraId="7BC55EA4" w14:textId="77777777" w:rsidR="00DE3C06" w:rsidRPr="000C5171" w:rsidRDefault="00DE3C06" w:rsidP="00DE3C06">
      <w:pPr>
        <w:pStyle w:val="Prrafodelista"/>
        <w:spacing w:line="276" w:lineRule="auto"/>
        <w:ind w:left="284" w:right="95"/>
        <w:jc w:val="right"/>
        <w:rPr>
          <w:rFonts w:cs="Tahoma"/>
          <w:sz w:val="18"/>
          <w:szCs w:val="18"/>
        </w:rPr>
      </w:pPr>
      <w:r w:rsidRPr="000C5171">
        <w:rPr>
          <w:rFonts w:cs="Tahoma"/>
          <w:sz w:val="18"/>
          <w:szCs w:val="18"/>
        </w:rPr>
        <w:t>Fuente: Documento CONPES 3932. DNP, junio 28 de 2018</w:t>
      </w:r>
    </w:p>
    <w:p w14:paraId="5DCCC192" w14:textId="77777777" w:rsidR="00DE3C06" w:rsidRPr="000C5171" w:rsidRDefault="00DE3C06" w:rsidP="00DE3C06">
      <w:pPr>
        <w:pStyle w:val="Prrafodelista"/>
        <w:spacing w:line="276" w:lineRule="auto"/>
        <w:ind w:left="284"/>
        <w:jc w:val="right"/>
        <w:rPr>
          <w:rFonts w:cs="Tahoma"/>
          <w:sz w:val="16"/>
          <w:szCs w:val="16"/>
        </w:rPr>
      </w:pPr>
      <w:r w:rsidRPr="000C5171">
        <w:rPr>
          <w:rFonts w:cs="Tahoma"/>
          <w:sz w:val="16"/>
          <w:szCs w:val="16"/>
        </w:rPr>
        <w:t>.</w:t>
      </w:r>
    </w:p>
    <w:p w14:paraId="132AF1F5" w14:textId="77777777" w:rsidR="00DE3C06" w:rsidRPr="000C5171" w:rsidRDefault="00DE3C06">
      <w:pPr>
        <w:pStyle w:val="Prrafodelista"/>
        <w:numPr>
          <w:ilvl w:val="0"/>
          <w:numId w:val="3"/>
        </w:numPr>
        <w:spacing w:after="0" w:line="276" w:lineRule="auto"/>
        <w:ind w:left="284" w:hanging="284"/>
        <w:jc w:val="both"/>
        <w:rPr>
          <w:rFonts w:cs="Tahoma"/>
          <w:sz w:val="22"/>
          <w:szCs w:val="22"/>
        </w:rPr>
      </w:pPr>
      <w:r w:rsidRPr="000C5171">
        <w:rPr>
          <w:rFonts w:cs="Tahoma"/>
          <w:sz w:val="22"/>
          <w:szCs w:val="22"/>
        </w:rPr>
        <w:t xml:space="preserve">De las anteriores cifras se deduce que al SGP, que como es de conocimiento general tiene destinaciones específicas, se le asocia el 59,9% del total; a los recursos propios de las entidades territoriales el 5,4% y a las regalías ordinarias de departamentos y municipios el 4,9%. Es decir, </w:t>
      </w:r>
      <w:r w:rsidRPr="000C5171">
        <w:rPr>
          <w:rFonts w:cs="Tahoma"/>
          <w:sz w:val="22"/>
          <w:szCs w:val="22"/>
          <w:u w:val="single"/>
        </w:rPr>
        <w:t xml:space="preserve">el </w:t>
      </w:r>
      <w:r w:rsidRPr="000C5171">
        <w:rPr>
          <w:rFonts w:cs="Tahoma"/>
          <w:sz w:val="22"/>
          <w:szCs w:val="22"/>
        </w:rPr>
        <w:t xml:space="preserve">documento CONPES, se proyectó una mayor proporción de la </w:t>
      </w:r>
      <w:r w:rsidRPr="000C5171">
        <w:rPr>
          <w:rFonts w:cs="Tahoma"/>
          <w:b/>
          <w:bCs/>
          <w:sz w:val="22"/>
          <w:szCs w:val="22"/>
        </w:rPr>
        <w:t>financiación a cargo de las entidades territoriales</w:t>
      </w:r>
      <w:r w:rsidRPr="000C5171">
        <w:rPr>
          <w:rFonts w:cs="Tahoma"/>
          <w:sz w:val="22"/>
          <w:szCs w:val="22"/>
        </w:rPr>
        <w:t xml:space="preserve"> para la implementación de los PDET y los PATR, </w:t>
      </w:r>
      <w:r w:rsidRPr="000C5171">
        <w:rPr>
          <w:rFonts w:cs="Tahoma"/>
          <w:b/>
          <w:bCs/>
          <w:sz w:val="22"/>
          <w:szCs w:val="22"/>
        </w:rPr>
        <w:t>70,2% del total</w:t>
      </w:r>
      <w:r w:rsidRPr="000C5171">
        <w:rPr>
          <w:rFonts w:cs="Tahoma"/>
          <w:sz w:val="22"/>
          <w:szCs w:val="22"/>
        </w:rPr>
        <w:t xml:space="preserve">. El </w:t>
      </w:r>
      <w:r w:rsidRPr="000C5171">
        <w:rPr>
          <w:rFonts w:cs="Tahoma"/>
          <w:b/>
          <w:bCs/>
          <w:sz w:val="22"/>
          <w:szCs w:val="22"/>
        </w:rPr>
        <w:t>29,8%</w:t>
      </w:r>
      <w:r w:rsidRPr="000C5171">
        <w:rPr>
          <w:rFonts w:cs="Tahoma"/>
          <w:sz w:val="22"/>
          <w:szCs w:val="22"/>
        </w:rPr>
        <w:t xml:space="preserve"> restante corresponde a PGN, asignaciones de regalías para la paz, recursos de cooperación y de privados.</w:t>
      </w:r>
    </w:p>
    <w:p w14:paraId="7190F767" w14:textId="77777777" w:rsidR="00DE3C06" w:rsidRPr="000C5171" w:rsidRDefault="00DE3C06" w:rsidP="00DE3C06">
      <w:pPr>
        <w:pStyle w:val="Prrafodelista"/>
        <w:spacing w:after="0" w:line="276" w:lineRule="auto"/>
        <w:ind w:left="284"/>
        <w:jc w:val="both"/>
        <w:rPr>
          <w:rFonts w:cs="Tahoma"/>
          <w:sz w:val="22"/>
          <w:szCs w:val="22"/>
        </w:rPr>
      </w:pPr>
    </w:p>
    <w:p w14:paraId="61701B7C" w14:textId="77777777" w:rsidR="00DE3C06" w:rsidRPr="000C5171" w:rsidRDefault="00DE3C06">
      <w:pPr>
        <w:pStyle w:val="Prrafodelista"/>
        <w:numPr>
          <w:ilvl w:val="0"/>
          <w:numId w:val="3"/>
        </w:numPr>
        <w:spacing w:after="0" w:line="276" w:lineRule="auto"/>
        <w:ind w:left="284" w:hanging="284"/>
        <w:jc w:val="both"/>
        <w:rPr>
          <w:rFonts w:cs="Tahoma"/>
          <w:sz w:val="22"/>
          <w:szCs w:val="22"/>
        </w:rPr>
      </w:pPr>
      <w:r w:rsidRPr="000C5171">
        <w:rPr>
          <w:rFonts w:cs="Tahoma"/>
          <w:sz w:val="22"/>
          <w:szCs w:val="22"/>
        </w:rPr>
        <w:t xml:space="preserve">Este hecho se constituye en una verdadera paradoja, púes no se entiende que, si uno de los criterios para la priorización de los municipios beneficiarios de los PDET fue su debilidad </w:t>
      </w:r>
      <w:proofErr w:type="gramStart"/>
      <w:r w:rsidRPr="000C5171">
        <w:rPr>
          <w:rFonts w:cs="Tahoma"/>
          <w:sz w:val="22"/>
          <w:szCs w:val="22"/>
        </w:rPr>
        <w:t>institucional,  se</w:t>
      </w:r>
      <w:proofErr w:type="gramEnd"/>
      <w:r w:rsidRPr="000C5171">
        <w:rPr>
          <w:rFonts w:cs="Tahoma"/>
          <w:sz w:val="22"/>
          <w:szCs w:val="22"/>
        </w:rPr>
        <w:t xml:space="preserve"> les haya asignado a las entidades territoriales la financiación de más del 70% del costo estimada para la implementación de los PDET-PATR</w:t>
      </w:r>
    </w:p>
    <w:p w14:paraId="24DB41A2" w14:textId="77777777" w:rsidR="00DE3C06" w:rsidRPr="000C5171" w:rsidRDefault="00DE3C06" w:rsidP="00DE3C06">
      <w:pPr>
        <w:spacing w:after="0" w:line="276" w:lineRule="auto"/>
        <w:jc w:val="both"/>
        <w:rPr>
          <w:rFonts w:cs="Tahoma"/>
          <w:sz w:val="22"/>
          <w:szCs w:val="22"/>
        </w:rPr>
      </w:pPr>
    </w:p>
    <w:p w14:paraId="0A71B8AD" w14:textId="77777777" w:rsidR="00DE3C06" w:rsidRPr="000C5171" w:rsidRDefault="00DE3C06">
      <w:pPr>
        <w:pStyle w:val="Textoindependiente"/>
        <w:numPr>
          <w:ilvl w:val="0"/>
          <w:numId w:val="3"/>
        </w:numPr>
        <w:autoSpaceDE w:val="0"/>
        <w:autoSpaceDN w:val="0"/>
        <w:spacing w:line="276" w:lineRule="auto"/>
        <w:ind w:left="284" w:hanging="284"/>
        <w:rPr>
          <w:rFonts w:asciiTheme="minorHAnsi" w:eastAsia="Arial Narrow" w:hAnsiTheme="minorHAnsi" w:cs="Tahoma"/>
          <w:lang w:val="es-CO"/>
        </w:rPr>
      </w:pPr>
      <w:r w:rsidRPr="000C5171">
        <w:rPr>
          <w:rFonts w:asciiTheme="minorHAnsi" w:eastAsia="Arial Narrow" w:hAnsiTheme="minorHAnsi" w:cs="Tahoma"/>
          <w:lang w:val="es-CO"/>
        </w:rPr>
        <w:t>Cuando se adoptó el documento CONPES 3932 de 2018, no se habían adoptado los PATR, por lo que no era posible contar con la información de las iniciativas definidas por las comunidades, los proyectos que darían lugar a su implementación y el costeo de estos.</w:t>
      </w:r>
    </w:p>
    <w:p w14:paraId="47C669A3" w14:textId="77777777" w:rsidR="00DE3C06" w:rsidRPr="000C5171" w:rsidRDefault="00DE3C06" w:rsidP="00DE3C06">
      <w:pPr>
        <w:pStyle w:val="Textoindependiente"/>
        <w:autoSpaceDE w:val="0"/>
        <w:autoSpaceDN w:val="0"/>
        <w:spacing w:line="276" w:lineRule="auto"/>
        <w:rPr>
          <w:rFonts w:asciiTheme="minorHAnsi" w:eastAsia="Arial Narrow" w:hAnsiTheme="minorHAnsi" w:cs="Tahoma"/>
          <w:lang w:val="es-CO"/>
        </w:rPr>
      </w:pPr>
    </w:p>
    <w:p w14:paraId="21CF732D" w14:textId="77777777" w:rsidR="00DE3C06" w:rsidRPr="000C5171" w:rsidRDefault="00DE3C06" w:rsidP="00DE3C06">
      <w:pPr>
        <w:spacing w:line="276" w:lineRule="auto"/>
        <w:ind w:left="284"/>
        <w:jc w:val="both"/>
        <w:rPr>
          <w:rFonts w:eastAsia="Arial Narrow" w:cs="Tahoma"/>
          <w:sz w:val="22"/>
          <w:szCs w:val="22"/>
        </w:rPr>
      </w:pPr>
      <w:r w:rsidRPr="000C5171">
        <w:rPr>
          <w:rFonts w:eastAsia="Arial Narrow" w:cs="Tahoma"/>
          <w:sz w:val="22"/>
          <w:szCs w:val="22"/>
        </w:rPr>
        <w:t xml:space="preserve">Adicionalmente hay que anotar que la participación de los municipios PDET en el SGP se mantuvo con relación a la que tenía con anterioridad a la firma del Acuerdo de Paz; en el SGR hubo un leve incremento y en el PGN la máxima participación se logró en el año 2023 con un 4,3% del total de la inversión del </w:t>
      </w:r>
      <w:proofErr w:type="gramStart"/>
      <w:r w:rsidRPr="000C5171">
        <w:rPr>
          <w:rFonts w:eastAsia="Arial Narrow" w:cs="Tahoma"/>
          <w:sz w:val="22"/>
          <w:szCs w:val="22"/>
        </w:rPr>
        <w:t>PGN,  como</w:t>
      </w:r>
      <w:proofErr w:type="gramEnd"/>
      <w:r w:rsidRPr="000C5171">
        <w:rPr>
          <w:rFonts w:eastAsia="Arial Narrow" w:cs="Tahoma"/>
          <w:sz w:val="22"/>
          <w:szCs w:val="22"/>
        </w:rPr>
        <w:t xml:space="preserve"> se aprecia en la siguiente gráfica:</w:t>
      </w:r>
    </w:p>
    <w:p w14:paraId="2E823A79" w14:textId="77777777" w:rsidR="00DE3C06" w:rsidRPr="000C5171" w:rsidRDefault="00DE3C06" w:rsidP="00DE3C06">
      <w:pPr>
        <w:spacing w:line="276" w:lineRule="auto"/>
        <w:ind w:left="360"/>
        <w:jc w:val="center"/>
        <w:rPr>
          <w:rFonts w:eastAsia="Arial Narrow" w:cs="Tahoma"/>
          <w:b/>
          <w:bCs/>
          <w:sz w:val="22"/>
          <w:szCs w:val="22"/>
        </w:rPr>
      </w:pPr>
    </w:p>
    <w:p w14:paraId="550A057A" w14:textId="77777777" w:rsidR="00DE3C06" w:rsidRPr="000C5171" w:rsidRDefault="00DE3C06" w:rsidP="00DE3C06">
      <w:pPr>
        <w:spacing w:line="276" w:lineRule="auto"/>
        <w:ind w:left="360"/>
        <w:jc w:val="center"/>
        <w:rPr>
          <w:rFonts w:eastAsia="Arial Narrow" w:cs="Tahoma"/>
          <w:b/>
          <w:bCs/>
          <w:sz w:val="22"/>
          <w:szCs w:val="22"/>
        </w:rPr>
      </w:pPr>
      <w:r w:rsidRPr="000C5171">
        <w:rPr>
          <w:rFonts w:eastAsia="Arial Narrow" w:cs="Tahoma"/>
          <w:b/>
          <w:bCs/>
          <w:sz w:val="22"/>
          <w:szCs w:val="22"/>
        </w:rPr>
        <w:t>Gráfica 4. Participación de los Municipios PDET en el SGP, SGR</w:t>
      </w:r>
      <w:r w:rsidRPr="000C5171">
        <w:rPr>
          <w:rStyle w:val="Refdenotaalpie"/>
          <w:rFonts w:eastAsia="Arial Narrow" w:cs="Tahoma"/>
          <w:b/>
          <w:bCs/>
          <w:sz w:val="22"/>
          <w:szCs w:val="22"/>
        </w:rPr>
        <w:footnoteReference w:id="14"/>
      </w:r>
      <w:r w:rsidRPr="000C5171">
        <w:rPr>
          <w:rFonts w:eastAsia="Arial Narrow" w:cs="Tahoma"/>
          <w:b/>
          <w:bCs/>
          <w:sz w:val="22"/>
          <w:szCs w:val="22"/>
        </w:rPr>
        <w:t xml:space="preserve"> y PGN</w:t>
      </w:r>
    </w:p>
    <w:p w14:paraId="7C810B22" w14:textId="77777777" w:rsidR="00DE3C06" w:rsidRPr="000C5171" w:rsidRDefault="00DE3C06" w:rsidP="00DE3C06">
      <w:pPr>
        <w:spacing w:line="276" w:lineRule="auto"/>
        <w:ind w:left="360"/>
        <w:jc w:val="center"/>
        <w:rPr>
          <w:rFonts w:eastAsia="Arial Narrow" w:cs="Tahoma"/>
          <w:sz w:val="22"/>
          <w:szCs w:val="22"/>
        </w:rPr>
      </w:pPr>
      <w:r w:rsidRPr="000C5171">
        <w:rPr>
          <w:rFonts w:eastAsia="Arial Narrow" w:cs="Tahoma"/>
          <w:b/>
          <w:bCs/>
          <w:noProof/>
          <w:sz w:val="22"/>
          <w:szCs w:val="22"/>
          <w:highlight w:val="yellow"/>
        </w:rPr>
        <w:lastRenderedPageBreak/>
        <w:drawing>
          <wp:inline distT="0" distB="0" distL="0" distR="0" wp14:anchorId="1AF0B034" wp14:editId="1EA47ACF">
            <wp:extent cx="4891405" cy="2552700"/>
            <wp:effectExtent l="0" t="0" r="4445" b="0"/>
            <wp:docPr id="360256434" name="Gráfico 1">
              <a:extLst xmlns:a="http://schemas.openxmlformats.org/drawingml/2006/main">
                <a:ext uri="{FF2B5EF4-FFF2-40B4-BE49-F238E27FC236}">
                  <a16:creationId xmlns:a16="http://schemas.microsoft.com/office/drawing/2014/main" id="{E2D243E5-1C5D-14B8-C292-AAB5E4C1F5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D95142E" w14:textId="77777777" w:rsidR="00DE3C06" w:rsidRPr="000C5171" w:rsidRDefault="00DE3C06" w:rsidP="00DE3C06">
      <w:pPr>
        <w:spacing w:line="276" w:lineRule="auto"/>
        <w:ind w:firstLine="360"/>
        <w:jc w:val="center"/>
        <w:rPr>
          <w:rFonts w:cs="Tahoma"/>
          <w:sz w:val="22"/>
          <w:szCs w:val="22"/>
        </w:rPr>
      </w:pPr>
      <w:r w:rsidRPr="000C5171">
        <w:rPr>
          <w:rFonts w:cs="Tahoma"/>
          <w:sz w:val="22"/>
          <w:szCs w:val="22"/>
        </w:rPr>
        <w:t>Fuente: Dirección de Información y Prospectiva – ART, corte febrero de 2026.</w:t>
      </w:r>
    </w:p>
    <w:p w14:paraId="5B341A3A" w14:textId="77777777" w:rsidR="00DE3C06" w:rsidRPr="000C5171" w:rsidRDefault="00DE3C06" w:rsidP="00DE3C06">
      <w:pPr>
        <w:spacing w:line="276" w:lineRule="auto"/>
        <w:ind w:firstLine="567"/>
        <w:rPr>
          <w:rFonts w:cs="Tahoma"/>
          <w:color w:val="0070C0"/>
          <w:sz w:val="22"/>
          <w:szCs w:val="22"/>
        </w:rPr>
      </w:pPr>
      <w:r w:rsidRPr="000C5171">
        <w:rPr>
          <w:rFonts w:cs="Tahoma"/>
          <w:color w:val="0070C0"/>
          <w:sz w:val="22"/>
          <w:szCs w:val="22"/>
        </w:rPr>
        <w:t>5.2.2 Limitación de los recursos de inversión de la ART</w:t>
      </w:r>
    </w:p>
    <w:p w14:paraId="78DF0419" w14:textId="77777777" w:rsidR="00DE3C06" w:rsidRPr="000C5171" w:rsidRDefault="00DE3C06" w:rsidP="00DE3C06">
      <w:pPr>
        <w:spacing w:line="276" w:lineRule="auto"/>
        <w:jc w:val="both"/>
        <w:rPr>
          <w:rFonts w:cs="Tahoma"/>
          <w:sz w:val="22"/>
          <w:szCs w:val="22"/>
        </w:rPr>
      </w:pPr>
      <w:r w:rsidRPr="000C5171">
        <w:rPr>
          <w:rFonts w:cs="Tahoma"/>
          <w:sz w:val="22"/>
          <w:szCs w:val="22"/>
        </w:rPr>
        <w:t>Siendo la ART, la Entidad encargada de coordinar la implementación de los PDET, en este punto es conveniente hacer referencia a lo que ha pasado con la asignación de recursos de inversión desde su creación hasta la fecha.</w:t>
      </w:r>
    </w:p>
    <w:p w14:paraId="1EAD3BE7" w14:textId="77777777" w:rsidR="00DE3C06" w:rsidRPr="000C5171" w:rsidRDefault="00DE3C06" w:rsidP="00DE3C06">
      <w:pPr>
        <w:spacing w:line="276" w:lineRule="auto"/>
        <w:jc w:val="both"/>
        <w:rPr>
          <w:rFonts w:cs="Tahoma"/>
          <w:sz w:val="22"/>
          <w:szCs w:val="22"/>
        </w:rPr>
      </w:pPr>
      <w:r w:rsidRPr="000C5171">
        <w:rPr>
          <w:rFonts w:cs="Tahoma"/>
          <w:sz w:val="22"/>
          <w:szCs w:val="22"/>
        </w:rPr>
        <w:t>La Entidad percibe para inversión recursos del PGN directamente y a través de una Subcuenta del Fondo Colombia en Paz, organismo creado por el decreto 691 de 2017 con el objeto de: “Ser el principal instrumento para la administración, coordinación, articulación, focalización y ejecución de las diferentes fuentes de recursos para realizar las acciones necesarias para la implementación del Acuerdo Final para la Terminación del Conflicto y la Construcción de una Paz Estable y Duradera”</w:t>
      </w:r>
    </w:p>
    <w:p w14:paraId="76DFDA77" w14:textId="77777777" w:rsidR="00DE3C06" w:rsidRPr="000C5171" w:rsidRDefault="00DE3C06" w:rsidP="00DE3C06">
      <w:pPr>
        <w:spacing w:line="276" w:lineRule="auto"/>
        <w:jc w:val="both"/>
        <w:rPr>
          <w:rFonts w:cs="Tahoma"/>
          <w:sz w:val="22"/>
          <w:szCs w:val="22"/>
        </w:rPr>
      </w:pPr>
      <w:r w:rsidRPr="000C5171">
        <w:rPr>
          <w:rFonts w:cs="Tahoma"/>
          <w:sz w:val="22"/>
          <w:szCs w:val="22"/>
        </w:rPr>
        <w:t>Entre 2017 y 2026, a la ART se le asignó directamente de presupuesto de inversión PGN un total de $530.834 millones, a precios constantes del 2016. En el actual período (2023-2026) a la Entidad se le apropiaron $171.363 millones, equivalente al 32,28% del total.</w:t>
      </w:r>
    </w:p>
    <w:p w14:paraId="04CD075D" w14:textId="77777777" w:rsidR="00DE3C06" w:rsidRPr="000C5171" w:rsidRDefault="00DE3C06" w:rsidP="00DE3C06">
      <w:pPr>
        <w:jc w:val="both"/>
      </w:pPr>
      <w:r w:rsidRPr="000C5171">
        <w:rPr>
          <w:rFonts w:cs="Tahoma"/>
          <w:sz w:val="22"/>
          <w:szCs w:val="22"/>
        </w:rPr>
        <w:t xml:space="preserve">Entre 2017 y 2026, a la ART se le asignó a través de </w:t>
      </w:r>
      <w:r w:rsidRPr="000C5171">
        <w:rPr>
          <w:rFonts w:cs="Tahoma"/>
        </w:rPr>
        <w:t xml:space="preserve">la Subcuenta PDET del Fondo Colombia en Paz, </w:t>
      </w:r>
      <w:r w:rsidRPr="000C5171">
        <w:rPr>
          <w:rFonts w:cs="Tahoma"/>
          <w:sz w:val="22"/>
          <w:szCs w:val="22"/>
        </w:rPr>
        <w:t xml:space="preserve">un total de </w:t>
      </w:r>
      <w:r w:rsidRPr="000C5171">
        <w:rPr>
          <w:rFonts w:cs="Tahoma"/>
        </w:rPr>
        <w:t>$610.376</w:t>
      </w:r>
      <w:r w:rsidRPr="000C5171">
        <w:rPr>
          <w:rFonts w:cs="Tahoma"/>
          <w:sz w:val="22"/>
          <w:szCs w:val="22"/>
        </w:rPr>
        <w:t xml:space="preserve"> millones, a precios constantes del 2016. En el actual período (2023-2026) a la Entidad se le </w:t>
      </w:r>
      <w:r w:rsidRPr="000C5171">
        <w:rPr>
          <w:rFonts w:cs="Tahoma"/>
        </w:rPr>
        <w:t xml:space="preserve">asignaron $226.452 </w:t>
      </w:r>
      <w:r w:rsidRPr="000C5171">
        <w:rPr>
          <w:rFonts w:cs="Tahoma"/>
          <w:sz w:val="22"/>
          <w:szCs w:val="22"/>
        </w:rPr>
        <w:t xml:space="preserve">millones para inversión, equivalente al </w:t>
      </w:r>
      <w:r w:rsidRPr="000C5171">
        <w:rPr>
          <w:rFonts w:cs="Tahoma"/>
        </w:rPr>
        <w:t>37.10% del</w:t>
      </w:r>
      <w:r w:rsidRPr="000C5171">
        <w:rPr>
          <w:rFonts w:cs="Tahoma"/>
          <w:sz w:val="22"/>
          <w:szCs w:val="22"/>
        </w:rPr>
        <w:t xml:space="preserve"> total</w:t>
      </w:r>
      <w:r w:rsidRPr="000C5171">
        <w:rPr>
          <w:rStyle w:val="Refdenotaalpie"/>
          <w:rFonts w:cs="Tahoma"/>
          <w:sz w:val="22"/>
          <w:szCs w:val="22"/>
        </w:rPr>
        <w:footnoteReference w:id="15"/>
      </w:r>
      <w:r w:rsidRPr="000C5171">
        <w:rPr>
          <w:rFonts w:cs="Tahoma"/>
          <w:sz w:val="22"/>
          <w:szCs w:val="22"/>
        </w:rPr>
        <w:t>.</w:t>
      </w:r>
    </w:p>
    <w:p w14:paraId="48A01F46" w14:textId="77777777" w:rsidR="00DE3C06" w:rsidRPr="000C5171" w:rsidRDefault="00DE3C06" w:rsidP="00DE3C06">
      <w:pPr>
        <w:spacing w:line="276" w:lineRule="auto"/>
        <w:jc w:val="both"/>
        <w:rPr>
          <w:rFonts w:cs="Tahoma"/>
          <w:sz w:val="22"/>
          <w:szCs w:val="22"/>
        </w:rPr>
      </w:pPr>
      <w:r w:rsidRPr="000C5171">
        <w:rPr>
          <w:rFonts w:cs="Tahoma"/>
          <w:sz w:val="22"/>
          <w:szCs w:val="22"/>
        </w:rPr>
        <w:lastRenderedPageBreak/>
        <w:t xml:space="preserve">Esta limitación en los recursos de </w:t>
      </w:r>
      <w:proofErr w:type="gramStart"/>
      <w:r w:rsidRPr="000C5171">
        <w:rPr>
          <w:rFonts w:cs="Tahoma"/>
          <w:sz w:val="22"/>
          <w:szCs w:val="22"/>
        </w:rPr>
        <w:t>inversión,</w:t>
      </w:r>
      <w:proofErr w:type="gramEnd"/>
      <w:r w:rsidRPr="000C5171">
        <w:rPr>
          <w:rFonts w:cs="Tahoma"/>
          <w:sz w:val="22"/>
          <w:szCs w:val="22"/>
        </w:rPr>
        <w:t xml:space="preserve"> incidió drásticamente en el cumplimiento de las metas a cargo de la Entidad, razón por la cual, es fundamental gestionar que en el Presupuesto General de la Nación (PGN) de la vigencia 2027 se incluyan las partidas de funcionamiento e inversión, tanto de las que se asignan directamente a la ART y a través de la subcuenta PDET del FCP presentadas por la entidad en el respectivo anteproyecto 2027 que se anexa</w:t>
      </w:r>
      <w:r w:rsidRPr="000C5171">
        <w:rPr>
          <w:rStyle w:val="Refdenotaalpie"/>
          <w:rFonts w:cs="Tahoma"/>
          <w:sz w:val="22"/>
          <w:szCs w:val="22"/>
        </w:rPr>
        <w:footnoteReference w:id="16"/>
      </w:r>
      <w:r w:rsidRPr="000C5171">
        <w:rPr>
          <w:rFonts w:cs="Tahoma"/>
          <w:sz w:val="22"/>
          <w:szCs w:val="22"/>
        </w:rPr>
        <w:t xml:space="preserve">. </w:t>
      </w:r>
    </w:p>
    <w:p w14:paraId="41DCABE1" w14:textId="77777777" w:rsidR="00DE3C06" w:rsidRPr="000C5171" w:rsidRDefault="00DE3C06" w:rsidP="00DE3C06">
      <w:pPr>
        <w:spacing w:line="276" w:lineRule="auto"/>
        <w:jc w:val="both"/>
        <w:rPr>
          <w:rFonts w:cs="Tahoma"/>
          <w:sz w:val="22"/>
          <w:szCs w:val="22"/>
        </w:rPr>
      </w:pPr>
    </w:p>
    <w:p w14:paraId="49BA9C59" w14:textId="77777777" w:rsidR="00DE3C06" w:rsidRPr="000C5171" w:rsidRDefault="00DE3C06" w:rsidP="00DE3C06">
      <w:pPr>
        <w:spacing w:line="276" w:lineRule="auto"/>
        <w:rPr>
          <w:rFonts w:cs="Tahoma"/>
          <w:color w:val="0070C0"/>
          <w:sz w:val="22"/>
          <w:szCs w:val="22"/>
        </w:rPr>
      </w:pPr>
      <w:bookmarkStart w:id="14" w:name="_Hlk227660082"/>
      <w:r w:rsidRPr="000C5171">
        <w:rPr>
          <w:rFonts w:cs="Tahoma"/>
          <w:color w:val="0070C0"/>
          <w:sz w:val="22"/>
          <w:szCs w:val="22"/>
        </w:rPr>
        <w:t>5.2.3 Avances y retos en la implementación de los PDET y los PATR</w:t>
      </w:r>
    </w:p>
    <w:p w14:paraId="170CD25C" w14:textId="77777777" w:rsidR="00DE3C06" w:rsidRPr="000C5171" w:rsidRDefault="00DE3C06" w:rsidP="00DE3C06">
      <w:pPr>
        <w:spacing w:after="0" w:line="276" w:lineRule="auto"/>
        <w:rPr>
          <w:rFonts w:cs="Tahoma"/>
          <w:color w:val="0070C0"/>
          <w:sz w:val="22"/>
          <w:szCs w:val="22"/>
        </w:rPr>
      </w:pPr>
    </w:p>
    <w:p w14:paraId="61EEC699" w14:textId="77777777" w:rsidR="00DE3C06" w:rsidRPr="000C5171" w:rsidRDefault="00DE3C06" w:rsidP="00DE3C06">
      <w:pPr>
        <w:spacing w:after="0" w:line="276" w:lineRule="auto"/>
        <w:rPr>
          <w:rFonts w:cs="Tahoma"/>
          <w:color w:val="0070C0"/>
          <w:sz w:val="22"/>
          <w:szCs w:val="22"/>
        </w:rPr>
      </w:pPr>
      <w:r w:rsidRPr="000C5171">
        <w:rPr>
          <w:rFonts w:cs="Tahoma"/>
          <w:color w:val="0070C0"/>
          <w:sz w:val="22"/>
          <w:szCs w:val="22"/>
        </w:rPr>
        <w:t>5.2.3.1 LOGROS</w:t>
      </w:r>
    </w:p>
    <w:p w14:paraId="2045B7BF" w14:textId="77777777" w:rsidR="00DE3C06" w:rsidRPr="000C5171" w:rsidRDefault="00DE3C06" w:rsidP="00DE3C06">
      <w:pPr>
        <w:spacing w:after="0" w:line="276" w:lineRule="auto"/>
        <w:jc w:val="both"/>
        <w:rPr>
          <w:rFonts w:cs="Tahoma"/>
          <w:sz w:val="22"/>
          <w:szCs w:val="22"/>
        </w:rPr>
      </w:pPr>
    </w:p>
    <w:p w14:paraId="2DA6DDE6" w14:textId="77777777" w:rsidR="00DE3C06" w:rsidRPr="000C5171" w:rsidRDefault="00DE3C06" w:rsidP="00DE3C06">
      <w:pPr>
        <w:spacing w:after="0" w:line="276" w:lineRule="auto"/>
        <w:jc w:val="both"/>
        <w:rPr>
          <w:rFonts w:cs="Tahoma"/>
          <w:sz w:val="22"/>
          <w:szCs w:val="22"/>
        </w:rPr>
      </w:pPr>
      <w:r w:rsidRPr="000C5171">
        <w:rPr>
          <w:rFonts w:cs="Tahoma"/>
          <w:sz w:val="22"/>
          <w:szCs w:val="22"/>
        </w:rPr>
        <w:t>En el contexto de las dificultades antes anotado, como fruto de la concurrencia de esfuerzos institucionales y financieros, de múltiples actores a nivel nacional y territorial, públicos, privados y de la cooperación internacional, con los cuales interactúa la ART en cumplimiento de su misionalidad de articulación y coordinación para la implementación de los PDET, se pueden señalar los siguientes avances acumulados, parciales varios de ellos:</w:t>
      </w:r>
    </w:p>
    <w:p w14:paraId="759B8D47" w14:textId="77777777" w:rsidR="00DE3C06" w:rsidRPr="000C5171" w:rsidRDefault="00DE3C06" w:rsidP="00DE3C06">
      <w:pPr>
        <w:spacing w:after="0" w:line="276" w:lineRule="auto"/>
        <w:jc w:val="both"/>
        <w:rPr>
          <w:rFonts w:cs="Tahoma"/>
          <w:b/>
          <w:bCs/>
          <w:sz w:val="22"/>
          <w:szCs w:val="22"/>
        </w:rPr>
      </w:pPr>
      <w:r w:rsidRPr="000C5171">
        <w:rPr>
          <w:rFonts w:cs="Tahoma"/>
          <w:b/>
          <w:bCs/>
          <w:sz w:val="22"/>
          <w:szCs w:val="22"/>
        </w:rPr>
        <w:t xml:space="preserve"> </w:t>
      </w:r>
    </w:p>
    <w:p w14:paraId="6B87DCFE" w14:textId="77777777" w:rsidR="00DE3C06" w:rsidRPr="000C5171" w:rsidRDefault="00DE3C06">
      <w:pPr>
        <w:pStyle w:val="Prrafodelista"/>
        <w:numPr>
          <w:ilvl w:val="0"/>
          <w:numId w:val="21"/>
        </w:numPr>
        <w:spacing w:after="0" w:line="276" w:lineRule="auto"/>
        <w:ind w:left="851"/>
        <w:jc w:val="both"/>
        <w:rPr>
          <w:rFonts w:cs="Tahoma"/>
          <w:sz w:val="22"/>
          <w:szCs w:val="22"/>
        </w:rPr>
      </w:pPr>
      <w:r w:rsidRPr="000C5171">
        <w:rPr>
          <w:rFonts w:cs="Tahoma"/>
          <w:b/>
          <w:bCs/>
          <w:sz w:val="22"/>
          <w:szCs w:val="22"/>
        </w:rPr>
        <w:t>Disminuida la Incidencia de la Pobreza Multidimensional</w:t>
      </w:r>
      <w:r w:rsidRPr="000C5171">
        <w:rPr>
          <w:rFonts w:cs="Tahoma"/>
          <w:sz w:val="22"/>
          <w:szCs w:val="22"/>
        </w:rPr>
        <w:t xml:space="preserve"> (IPM) al pasar del </w:t>
      </w:r>
      <w:r w:rsidRPr="000C5171">
        <w:rPr>
          <w:rFonts w:cs="Tahoma"/>
          <w:sz w:val="22"/>
          <w:szCs w:val="22"/>
        </w:rPr>
        <w:tab/>
        <w:t>39,8% en 2018 al 24,4% en 2024. La brecha respecto al promedio nacional, en este periodo disminuyó en 7,8 puntos porcentuales (p.p.), al pasar de 20,7 p.p. en 2018 a 12,9 p.p. en 2024.</w:t>
      </w:r>
    </w:p>
    <w:p w14:paraId="5635F462" w14:textId="77777777" w:rsidR="00DE3C06" w:rsidRPr="000C5171" w:rsidRDefault="00DE3C06" w:rsidP="00DE3C06">
      <w:pPr>
        <w:pStyle w:val="Prrafodelista"/>
        <w:spacing w:after="0" w:line="276" w:lineRule="auto"/>
        <w:ind w:left="851"/>
        <w:jc w:val="both"/>
        <w:rPr>
          <w:rFonts w:cs="Tahoma"/>
          <w:sz w:val="22"/>
          <w:szCs w:val="22"/>
        </w:rPr>
      </w:pPr>
      <w:r w:rsidRPr="000C5171">
        <w:rPr>
          <w:rFonts w:cs="Tahoma"/>
          <w:sz w:val="22"/>
          <w:szCs w:val="22"/>
        </w:rPr>
        <w:t xml:space="preserve">En el actual periodo de Gobierno la incidencia de la pobreza multidimensional ha bajado de 27,5% en 2022 a 24,4% en 2024, lo cual corresponde a una disminución de 3,1 puntos porcentuales. </w:t>
      </w:r>
    </w:p>
    <w:p w14:paraId="6EED3408" w14:textId="77777777" w:rsidR="00DE3C06" w:rsidRPr="000C5171" w:rsidRDefault="00DE3C06" w:rsidP="00DE3C06">
      <w:pPr>
        <w:pStyle w:val="Prrafodelista"/>
        <w:spacing w:after="0" w:line="276" w:lineRule="auto"/>
        <w:ind w:left="851"/>
        <w:jc w:val="both"/>
        <w:rPr>
          <w:rFonts w:cs="Tahoma"/>
          <w:sz w:val="22"/>
          <w:szCs w:val="22"/>
        </w:rPr>
      </w:pPr>
    </w:p>
    <w:p w14:paraId="1CF20E58" w14:textId="77777777" w:rsidR="00DE3C06" w:rsidRPr="000C5171" w:rsidRDefault="00DE3C06">
      <w:pPr>
        <w:pStyle w:val="Prrafodelista"/>
        <w:numPr>
          <w:ilvl w:val="0"/>
          <w:numId w:val="21"/>
        </w:numPr>
        <w:spacing w:after="0" w:line="276" w:lineRule="auto"/>
        <w:ind w:left="851"/>
        <w:jc w:val="both"/>
        <w:rPr>
          <w:rFonts w:cs="Tahoma"/>
          <w:sz w:val="22"/>
          <w:szCs w:val="22"/>
        </w:rPr>
      </w:pPr>
      <w:r w:rsidRPr="000C5171">
        <w:rPr>
          <w:rFonts w:cs="Tahoma"/>
          <w:b/>
          <w:bCs/>
          <w:sz w:val="22"/>
          <w:szCs w:val="22"/>
        </w:rPr>
        <w:t>Incrementado el puntaje promedio en la Medición de Desempeño Municipal (MDM</w:t>
      </w:r>
      <w:r w:rsidRPr="000C5171">
        <w:rPr>
          <w:rFonts w:cs="Tahoma"/>
          <w:sz w:val="22"/>
          <w:szCs w:val="22"/>
        </w:rPr>
        <w:t xml:space="preserve">), de los municipios PDET al pasar de 45,3 en 2018 a 49,6 en 2024, lo que demuestra que han mejorado sus capacidades de gestión, uso de recursos y resultados en bienestar de la población, incentivando la inversión orientada a resultados dirigida al fortalecimiento de capacidades y al cierre de brechas territoriales. En el actual periodo de Gobierno la Medición de Desempeño Municipal para los municipios PDET pasó en promedio de 49,4 puntos en 2022 a 49,6 en 2024, correspondiente a un nivel medio de desempeño. </w:t>
      </w:r>
    </w:p>
    <w:p w14:paraId="0D1D0E21" w14:textId="77777777" w:rsidR="00DE3C06" w:rsidRPr="000C5171" w:rsidRDefault="00DE3C06" w:rsidP="00DE3C06">
      <w:pPr>
        <w:pStyle w:val="Prrafodelista"/>
        <w:spacing w:after="0" w:line="276" w:lineRule="auto"/>
        <w:ind w:left="851"/>
        <w:jc w:val="both"/>
        <w:rPr>
          <w:rFonts w:cs="Tahoma"/>
          <w:sz w:val="22"/>
          <w:szCs w:val="22"/>
        </w:rPr>
      </w:pPr>
    </w:p>
    <w:p w14:paraId="2EB3B865" w14:textId="77777777" w:rsidR="00DE3C06" w:rsidRPr="000C5171" w:rsidRDefault="00DE3C06">
      <w:pPr>
        <w:pStyle w:val="Prrafodelista"/>
        <w:numPr>
          <w:ilvl w:val="0"/>
          <w:numId w:val="21"/>
        </w:numPr>
        <w:spacing w:after="0" w:line="276" w:lineRule="auto"/>
        <w:ind w:left="851"/>
        <w:jc w:val="both"/>
        <w:rPr>
          <w:rFonts w:cs="Tahoma"/>
          <w:sz w:val="22"/>
          <w:szCs w:val="22"/>
        </w:rPr>
      </w:pPr>
      <w:r w:rsidRPr="000C5171">
        <w:rPr>
          <w:rFonts w:cs="Tahoma"/>
          <w:b/>
          <w:bCs/>
          <w:sz w:val="22"/>
          <w:szCs w:val="22"/>
        </w:rPr>
        <w:t>Fortalecida la participación étnica y comunitaria</w:t>
      </w:r>
      <w:proofErr w:type="gramStart"/>
      <w:r w:rsidRPr="000C5171">
        <w:rPr>
          <w:rFonts w:cs="Tahoma"/>
          <w:b/>
          <w:bCs/>
          <w:sz w:val="22"/>
          <w:szCs w:val="22"/>
        </w:rPr>
        <w:t>:</w:t>
      </w:r>
      <w:r w:rsidRPr="000C5171">
        <w:rPr>
          <w:rFonts w:cs="Tahoma"/>
          <w:sz w:val="22"/>
          <w:szCs w:val="22"/>
        </w:rPr>
        <w:t xml:space="preserve"> </w:t>
      </w:r>
      <w:r w:rsidRPr="000C5171">
        <w:rPr>
          <w:rFonts w:cs="Tahoma"/>
          <w:b/>
          <w:bCs/>
          <w:sz w:val="22"/>
          <w:szCs w:val="22"/>
        </w:rPr>
        <w:t>:</w:t>
      </w:r>
      <w:proofErr w:type="gramEnd"/>
      <w:r w:rsidRPr="000C5171">
        <w:rPr>
          <w:rFonts w:cs="Tahoma"/>
          <w:sz w:val="22"/>
          <w:szCs w:val="22"/>
        </w:rPr>
        <w:t xml:space="preserve"> conformadas 170 mesas comunitarias con la participación de cerca de 4.500 líderes y lideresas provenientes </w:t>
      </w:r>
      <w:r w:rsidRPr="000C5171">
        <w:rPr>
          <w:rFonts w:cs="Tahoma"/>
          <w:sz w:val="22"/>
          <w:szCs w:val="22"/>
        </w:rPr>
        <w:lastRenderedPageBreak/>
        <w:t>de los grupos motor y de las organizaciones más representativas de cada municipio. Consolidados 15 Mecanismos Especiales de Consulta (MEC) con la participación de 490 autoridades afro e indígenas en las diferentes subregiones PDET, excepto la del Sur de Bolívar, en proceso de conformación.</w:t>
      </w:r>
    </w:p>
    <w:p w14:paraId="3FB5BB34" w14:textId="77777777" w:rsidR="00DE3C06" w:rsidRPr="000C5171" w:rsidRDefault="00DE3C06" w:rsidP="00DE3C06">
      <w:pPr>
        <w:spacing w:after="0" w:line="276" w:lineRule="auto"/>
        <w:ind w:left="851" w:hanging="720"/>
        <w:jc w:val="both"/>
        <w:rPr>
          <w:rFonts w:cs="Tahoma"/>
          <w:sz w:val="22"/>
          <w:szCs w:val="22"/>
        </w:rPr>
      </w:pPr>
    </w:p>
    <w:p w14:paraId="39DBA2CA" w14:textId="77777777" w:rsidR="00DE3C06" w:rsidRPr="000C5171" w:rsidRDefault="00DE3C06" w:rsidP="00DE3C06">
      <w:pPr>
        <w:spacing w:after="0" w:line="276" w:lineRule="auto"/>
        <w:ind w:left="851"/>
        <w:jc w:val="both"/>
        <w:rPr>
          <w:rFonts w:cs="Tahoma"/>
          <w:sz w:val="22"/>
          <w:szCs w:val="22"/>
        </w:rPr>
      </w:pPr>
      <w:r w:rsidRPr="000C5171">
        <w:rPr>
          <w:rFonts w:cs="Tahoma"/>
          <w:sz w:val="22"/>
          <w:szCs w:val="22"/>
        </w:rPr>
        <w:t xml:space="preserve">En el actual periodo de Gobierno se transitó de la figura de "Grupos Motor", integrados por líderes o lideresas provenientes de los núcleos veredales por cada uno de los 8 pilares en que se agruparon las iniciativas y algunos sectores poblacionales, a las Mesas Comunitarias; y se pasó de la simple formalidad de los MEC a su funcionamiento, operatividad y fortalecimiento a través de sus sesiones ordinarias. </w:t>
      </w:r>
    </w:p>
    <w:p w14:paraId="3A01049D" w14:textId="77777777" w:rsidR="00DE3C06" w:rsidRPr="000C5171" w:rsidRDefault="00DE3C06" w:rsidP="00DE3C06">
      <w:pPr>
        <w:spacing w:before="240"/>
        <w:ind w:left="851"/>
        <w:jc w:val="both"/>
        <w:rPr>
          <w:sz w:val="22"/>
          <w:szCs w:val="22"/>
        </w:rPr>
      </w:pPr>
      <w:r w:rsidRPr="000C5171">
        <w:rPr>
          <w:rFonts w:cs="Tahoma"/>
          <w:sz w:val="22"/>
          <w:szCs w:val="22"/>
        </w:rPr>
        <w:t xml:space="preserve">A su vez, en el marco de la Resolución 1204 de 2025 </w:t>
      </w:r>
      <w:r w:rsidRPr="000C5171">
        <w:rPr>
          <w:rFonts w:eastAsia="Times New Roman" w:cs="Tahoma"/>
          <w:sz w:val="22"/>
          <w:szCs w:val="22"/>
          <w:lang w:eastAsia="es-CO"/>
        </w:rPr>
        <w:t xml:space="preserve">"por medio de la cual se reconocen las Mesas Comunitarias Municipales y Subregionales, se crea la mesa Nacional, como espacios de participación ciudadana en los municipios PDET, y se imparten lineamientos para su conformación, operación, coordinación y articulación", se viene desarrollando un ejercicio de reorganización y operatividad de esta instancia de participación, con el objetivo de fortalecerles  y consolidarles </w:t>
      </w:r>
      <w:proofErr w:type="spellStart"/>
      <w:r w:rsidRPr="000C5171">
        <w:rPr>
          <w:rFonts w:eastAsia="Times New Roman" w:cs="Tahoma"/>
          <w:sz w:val="22"/>
          <w:szCs w:val="22"/>
          <w:lang w:eastAsia="es-CO"/>
        </w:rPr>
        <w:t>como</w:t>
      </w:r>
      <w:proofErr w:type="spellEnd"/>
      <w:r w:rsidRPr="000C5171">
        <w:rPr>
          <w:rFonts w:eastAsia="Times New Roman" w:cs="Tahoma"/>
          <w:sz w:val="22"/>
          <w:szCs w:val="22"/>
          <w:lang w:eastAsia="es-CO"/>
        </w:rPr>
        <w:t xml:space="preserve"> </w:t>
      </w:r>
      <w:r w:rsidRPr="000C5171">
        <w:rPr>
          <w:sz w:val="22"/>
          <w:szCs w:val="22"/>
        </w:rPr>
        <w:t xml:space="preserve">como escenarios de participación comunitaria para la implementación, seguimiento, actualización y evaluación de los PDET y los PATR. </w:t>
      </w:r>
    </w:p>
    <w:p w14:paraId="541ABDB8" w14:textId="77777777" w:rsidR="00DE3C06" w:rsidRPr="000C5171" w:rsidRDefault="00DE3C06" w:rsidP="00DE3C06">
      <w:pPr>
        <w:spacing w:after="0" w:line="276" w:lineRule="auto"/>
        <w:ind w:left="851"/>
        <w:jc w:val="both"/>
        <w:rPr>
          <w:rFonts w:eastAsia="Times New Roman" w:cs="Tahoma"/>
          <w:sz w:val="22"/>
          <w:szCs w:val="22"/>
          <w:lang w:val="es-419" w:eastAsia="es-CO"/>
        </w:rPr>
      </w:pPr>
      <w:r w:rsidRPr="000C5171">
        <w:rPr>
          <w:rFonts w:eastAsia="Times New Roman" w:cs="Tahoma"/>
          <w:sz w:val="22"/>
          <w:szCs w:val="22"/>
          <w:lang w:val="es-419" w:eastAsia="es-CO"/>
        </w:rPr>
        <w:t>La organización de este espacio se hace de manera escalar, desde el nivel municipal hasta el nacional. Cada Mesa Comunitaria Municipal (MCM) está conformada por las personas provenientes de los Grupos Motor y representantes o delegado(as) de: organizaciones campesinas, ASOJUNTAS y/o juntas de acción comunal, mesas de víctimas del conflicto armado, población de los sectores LGBTI y personas con orientaciones e identidades de género diversas, Consejos Municipales de Juventud, organizaciones y/o mesas de mujeres, representantes de Firmantes de Paz, Consejos Territoriales de Paz, Consejos Territoriales de Planeación -CTP, beneficiarios del Programa PNIS y de sustitución de cultivos de uso ilícito (en los municipios donde aplique), y organizaciones y/o asociaciones ambientalistas y animalistas.</w:t>
      </w:r>
    </w:p>
    <w:p w14:paraId="20ED2F03" w14:textId="77777777" w:rsidR="00DE3C06" w:rsidRPr="000C5171" w:rsidRDefault="00DE3C06" w:rsidP="00DE3C06">
      <w:pPr>
        <w:spacing w:before="240" w:after="0" w:line="276" w:lineRule="auto"/>
        <w:ind w:left="851"/>
        <w:jc w:val="both"/>
        <w:rPr>
          <w:rFonts w:eastAsia="Times New Roman" w:cs="Tahoma"/>
          <w:sz w:val="22"/>
          <w:szCs w:val="22"/>
          <w:lang w:eastAsia="es-CO"/>
        </w:rPr>
      </w:pPr>
      <w:r w:rsidRPr="000C5171">
        <w:rPr>
          <w:rFonts w:eastAsia="Times New Roman" w:cs="Tahoma"/>
          <w:sz w:val="22"/>
          <w:szCs w:val="22"/>
          <w:lang w:val="es-419" w:eastAsia="es-CO"/>
        </w:rPr>
        <w:t xml:space="preserve">Cada MCM se organiza en grupos de trabajo (máximo 8) y cada grupo de trabajo elige un(a) coordinador(a) que, en conjunto, conforman la secretaría técnica de la mesa. A su vez, las secretarías técnicas de todas las Mesas Comunitarias Municipales de la respectiva subregión PDET conforman la Mesa Comunitaria Subregional (MCS), la cual opera con los mismos grupos de trabajo. Finalmente, al interior de cada Mesa Comunitaria Subregional se eligen unas vocerías, cuyo número está determinado por el tamaño de la subregión, quienes pasan a hacer parte de la Mesa Comunitaria Nacional (MCN).  </w:t>
      </w:r>
    </w:p>
    <w:p w14:paraId="46314089" w14:textId="77777777" w:rsidR="00DE3C06" w:rsidRPr="000C5171" w:rsidRDefault="00DE3C06" w:rsidP="00DE3C06">
      <w:pPr>
        <w:spacing w:after="0" w:line="276" w:lineRule="auto"/>
        <w:ind w:left="851"/>
        <w:jc w:val="both"/>
        <w:rPr>
          <w:rFonts w:eastAsia="Times New Roman" w:cs="Tahoma"/>
          <w:sz w:val="22"/>
          <w:szCs w:val="22"/>
          <w:lang w:val="es-419" w:eastAsia="es-CO"/>
        </w:rPr>
      </w:pPr>
    </w:p>
    <w:p w14:paraId="6A859551" w14:textId="77777777" w:rsidR="00DE3C06" w:rsidRPr="000C5171" w:rsidRDefault="00DE3C06" w:rsidP="00DE3C06">
      <w:pPr>
        <w:spacing w:after="0" w:line="276" w:lineRule="auto"/>
        <w:ind w:left="851"/>
        <w:jc w:val="both"/>
        <w:rPr>
          <w:sz w:val="22"/>
          <w:szCs w:val="22"/>
        </w:rPr>
      </w:pPr>
      <w:r w:rsidRPr="000C5171">
        <w:rPr>
          <w:rFonts w:eastAsia="Times New Roman" w:cs="Tahoma"/>
          <w:sz w:val="22"/>
          <w:szCs w:val="22"/>
          <w:lang w:val="es-419" w:eastAsia="es-CO"/>
        </w:rPr>
        <w:lastRenderedPageBreak/>
        <w:t xml:space="preserve">Con corte al mes de junio del 2026, la ART </w:t>
      </w:r>
      <w:r w:rsidRPr="000C5171">
        <w:rPr>
          <w:sz w:val="22"/>
          <w:szCs w:val="22"/>
        </w:rPr>
        <w:t xml:space="preserve">ha desarrollado </w:t>
      </w:r>
      <w:r w:rsidRPr="000C5171">
        <w:rPr>
          <w:b/>
          <w:bCs/>
          <w:sz w:val="22"/>
          <w:szCs w:val="22"/>
        </w:rPr>
        <w:t>103 de los 170 encuentros municipales</w:t>
      </w:r>
      <w:r w:rsidRPr="000C5171">
        <w:rPr>
          <w:sz w:val="22"/>
          <w:szCs w:val="22"/>
        </w:rPr>
        <w:t xml:space="preserve"> previstos para la reestructuración de las Mesas Comunitarias Municipales (MCM), alcanzando un avance nacional del </w:t>
      </w:r>
      <w:r w:rsidRPr="000C5171">
        <w:rPr>
          <w:b/>
          <w:bCs/>
          <w:sz w:val="22"/>
          <w:szCs w:val="22"/>
        </w:rPr>
        <w:t>58 %</w:t>
      </w:r>
      <w:r w:rsidRPr="000C5171">
        <w:rPr>
          <w:sz w:val="22"/>
          <w:szCs w:val="22"/>
        </w:rPr>
        <w:t xml:space="preserve">. A la fecha, siete (7) subregiones PDET han culminado la totalidad de sus encuentros municipales (Catatumbo, Sur de Bolívar, Chocó, Sur de Córdoba, Arauca, Putumayo y Sur de Tolima), mientras que las demás continúan avanzando conforme al cronograma establecido para completar la fase municipal e iniciar la conformación de las Mesas Comunitarias Subregionales y la Mesa Nacional.  </w:t>
      </w:r>
    </w:p>
    <w:p w14:paraId="21BE448E" w14:textId="77777777" w:rsidR="00DE3C06" w:rsidRPr="000C5171" w:rsidRDefault="00DE3C06" w:rsidP="00DE3C06">
      <w:pPr>
        <w:spacing w:after="0" w:line="276" w:lineRule="auto"/>
        <w:ind w:left="851"/>
        <w:jc w:val="both"/>
        <w:rPr>
          <w:sz w:val="22"/>
          <w:szCs w:val="22"/>
        </w:rPr>
      </w:pPr>
    </w:p>
    <w:p w14:paraId="1B58C64B" w14:textId="77777777" w:rsidR="00DE3C06" w:rsidRPr="000C5171" w:rsidRDefault="00DE3C06">
      <w:pPr>
        <w:pStyle w:val="Prrafodelista"/>
        <w:numPr>
          <w:ilvl w:val="0"/>
          <w:numId w:val="21"/>
        </w:numPr>
        <w:spacing w:after="0" w:line="276" w:lineRule="auto"/>
        <w:ind w:left="851"/>
        <w:jc w:val="both"/>
        <w:rPr>
          <w:rFonts w:cs="Tahoma"/>
          <w:sz w:val="22"/>
          <w:szCs w:val="22"/>
        </w:rPr>
      </w:pPr>
      <w:r w:rsidRPr="000C5171">
        <w:rPr>
          <w:sz w:val="22"/>
          <w:szCs w:val="22"/>
        </w:rPr>
        <w:t>Además de la reestructuración de las Mesas Comunitarias Municipales, estos encuentros han permitido recoger observaciones, recomendaciones y propuestas formuladas por las comunidades para el fortalecimiento de los mecanismos de participación comunitaria y para la mejora continua de la implementación de la Resolución 1204 de 2025, insumos que servirán de base para la siguiente fase del proceso y para el fortalecimiento del modelo de gobernanza comunitaria en los territorios PDET.</w:t>
      </w:r>
    </w:p>
    <w:p w14:paraId="37BBE265" w14:textId="77777777" w:rsidR="00DE3C06" w:rsidRPr="000C5171" w:rsidRDefault="00DE3C06" w:rsidP="00DE3C06">
      <w:pPr>
        <w:pStyle w:val="Prrafodelista"/>
        <w:spacing w:after="0" w:line="276" w:lineRule="auto"/>
        <w:ind w:left="851"/>
        <w:jc w:val="both"/>
        <w:rPr>
          <w:rFonts w:cs="Tahoma"/>
          <w:sz w:val="22"/>
          <w:szCs w:val="22"/>
        </w:rPr>
      </w:pPr>
    </w:p>
    <w:p w14:paraId="3DE90A8B" w14:textId="77777777" w:rsidR="00DE3C06" w:rsidRPr="000C5171" w:rsidRDefault="00DE3C06">
      <w:pPr>
        <w:pStyle w:val="Prrafodelista"/>
        <w:numPr>
          <w:ilvl w:val="0"/>
          <w:numId w:val="21"/>
        </w:numPr>
        <w:spacing w:line="276" w:lineRule="auto"/>
        <w:ind w:left="851"/>
        <w:jc w:val="both"/>
        <w:rPr>
          <w:rFonts w:cs="Tahoma"/>
          <w:b/>
          <w:bCs/>
          <w:sz w:val="22"/>
          <w:szCs w:val="22"/>
        </w:rPr>
      </w:pPr>
      <w:r w:rsidRPr="000C5171">
        <w:rPr>
          <w:rFonts w:cs="Tahoma"/>
          <w:b/>
          <w:bCs/>
          <w:sz w:val="22"/>
          <w:szCs w:val="22"/>
        </w:rPr>
        <w:t>Activadas en total 21.861 iniciativas comunitarias</w:t>
      </w:r>
      <w:r w:rsidRPr="000C5171">
        <w:rPr>
          <w:rStyle w:val="Refdenotaalpie"/>
          <w:rFonts w:cs="Tahoma"/>
          <w:b/>
          <w:bCs/>
          <w:sz w:val="22"/>
          <w:szCs w:val="22"/>
        </w:rPr>
        <w:footnoteReference w:id="17"/>
      </w:r>
      <w:r w:rsidRPr="000C5171">
        <w:rPr>
          <w:rFonts w:cs="Tahoma"/>
          <w:b/>
          <w:bCs/>
          <w:sz w:val="22"/>
          <w:szCs w:val="22"/>
        </w:rPr>
        <w:t xml:space="preserve"> que equivalen al 66,2% de las incluidas en los PATR.</w:t>
      </w:r>
    </w:p>
    <w:p w14:paraId="304645C6" w14:textId="77777777" w:rsidR="00DE3C06" w:rsidRPr="000C5171" w:rsidRDefault="00DE3C06" w:rsidP="00DE3C06">
      <w:pPr>
        <w:spacing w:line="276" w:lineRule="auto"/>
        <w:ind w:left="851"/>
        <w:jc w:val="both"/>
        <w:rPr>
          <w:rFonts w:cs="Tahoma"/>
          <w:sz w:val="22"/>
          <w:szCs w:val="22"/>
        </w:rPr>
      </w:pPr>
      <w:r w:rsidRPr="000C5171">
        <w:rPr>
          <w:rFonts w:cs="Tahoma"/>
          <w:sz w:val="22"/>
          <w:szCs w:val="22"/>
        </w:rPr>
        <w:t>Puntualmente, en el periodo de gobierno actual, se activaron 9.461 iniciativas, lo que representa un incremento de 28,3 puntos porcentuales con respecto a lo recibido en agosto de 2022, al pasar de 12.511</w:t>
      </w:r>
      <w:r w:rsidRPr="000C5171">
        <w:rPr>
          <w:rStyle w:val="Refdenotaalpie"/>
          <w:rFonts w:cs="Tahoma"/>
          <w:sz w:val="22"/>
          <w:szCs w:val="22"/>
        </w:rPr>
        <w:footnoteReference w:id="18"/>
      </w:r>
      <w:r w:rsidRPr="000C5171">
        <w:rPr>
          <w:rFonts w:cs="Tahoma"/>
          <w:sz w:val="22"/>
          <w:szCs w:val="22"/>
        </w:rPr>
        <w:t xml:space="preserve"> iniciativas activadas (el 37,9%), a 21.861 equivalentes al 66,2%, con corte a 31 mayo</w:t>
      </w:r>
      <w:r w:rsidRPr="000C5171">
        <w:rPr>
          <w:rStyle w:val="Refdenotaalpie"/>
          <w:rFonts w:cs="Tahoma"/>
          <w:sz w:val="22"/>
          <w:szCs w:val="22"/>
        </w:rPr>
        <w:footnoteReference w:id="19"/>
      </w:r>
      <w:r w:rsidRPr="000C5171">
        <w:rPr>
          <w:rFonts w:cs="Tahoma"/>
          <w:sz w:val="22"/>
          <w:szCs w:val="22"/>
        </w:rPr>
        <w:t xml:space="preserve"> de 2026. </w:t>
      </w:r>
    </w:p>
    <w:p w14:paraId="12EF7727" w14:textId="77777777" w:rsidR="00DE3C06" w:rsidRPr="000C5171" w:rsidRDefault="00DE3C06" w:rsidP="00DE3C06">
      <w:pPr>
        <w:spacing w:line="276" w:lineRule="auto"/>
        <w:ind w:left="851"/>
        <w:jc w:val="both"/>
        <w:rPr>
          <w:rFonts w:cs="Tahoma"/>
          <w:sz w:val="22"/>
          <w:szCs w:val="22"/>
        </w:rPr>
      </w:pPr>
      <w:r w:rsidRPr="000C5171">
        <w:rPr>
          <w:rFonts w:cs="Tahoma"/>
          <w:sz w:val="22"/>
          <w:szCs w:val="22"/>
        </w:rPr>
        <w:t xml:space="preserve">Como una de las estrategias empleadas para lograr el resultado anterior, durante la vigencia 2024 y de manera simultánea con la realización del Momento 1 de la revisión y actualización de los PATR, se lideró la estrategia de incidencia territorial para la incorporación de las iniciativas PDET en los Planes de Desarrollo Territoriales 2024-2027, la cual se desarrolló de manera articulada con las orientaciones del Departamento Nacional de Planeación (DNP) y en el marco del proceso de revisión y actualización de los PATR. </w:t>
      </w:r>
    </w:p>
    <w:p w14:paraId="07BACBD1" w14:textId="77777777" w:rsidR="00DE3C06" w:rsidRPr="000C5171" w:rsidRDefault="00DE3C06" w:rsidP="00DE3C06">
      <w:pPr>
        <w:spacing w:line="276" w:lineRule="auto"/>
        <w:ind w:left="851"/>
        <w:jc w:val="both"/>
        <w:rPr>
          <w:rFonts w:eastAsia="Arial" w:cs="Tahoma"/>
          <w:sz w:val="22"/>
          <w:szCs w:val="22"/>
        </w:rPr>
      </w:pPr>
      <w:r w:rsidRPr="000C5171">
        <w:rPr>
          <w:rFonts w:cs="Tahoma"/>
          <w:sz w:val="22"/>
          <w:szCs w:val="22"/>
        </w:rPr>
        <w:lastRenderedPageBreak/>
        <w:t>El principal resultado de la estrategia de incidencia fue que el 100% de los Planes de Desarrollo Territorial incorporaron los PATR/PDET con distinto nivel de desarrollo técnico y un total de 6.391 iniciativas PATR quedaron asociadas a este instrumento, lo que corresponde al 19,4 % del total de las iniciativas PATR.</w:t>
      </w:r>
    </w:p>
    <w:p w14:paraId="2429D0B1" w14:textId="77777777" w:rsidR="00DE3C06" w:rsidRPr="000C5171" w:rsidRDefault="00DE3C06">
      <w:pPr>
        <w:pStyle w:val="Prrafodelista"/>
        <w:numPr>
          <w:ilvl w:val="0"/>
          <w:numId w:val="21"/>
        </w:numPr>
        <w:spacing w:line="276" w:lineRule="auto"/>
        <w:ind w:left="851"/>
        <w:jc w:val="both"/>
        <w:rPr>
          <w:rFonts w:cs="Tahoma"/>
          <w:sz w:val="22"/>
          <w:szCs w:val="22"/>
        </w:rPr>
      </w:pPr>
      <w:r w:rsidRPr="000C5171">
        <w:rPr>
          <w:rFonts w:cs="Tahoma"/>
          <w:b/>
          <w:bCs/>
          <w:sz w:val="22"/>
          <w:szCs w:val="22"/>
        </w:rPr>
        <w:t>Aprobados con recursos de las distintas fuentes de financiación 16.511 proyectos por valor de $49,48 billones de pesos de 2016,</w:t>
      </w:r>
      <w:r w:rsidRPr="000C5171">
        <w:rPr>
          <w:rFonts w:cs="Tahoma"/>
          <w:sz w:val="22"/>
          <w:szCs w:val="22"/>
        </w:rPr>
        <w:t xml:space="preserve"> como se detalla en la siguiente tabla:</w:t>
      </w:r>
    </w:p>
    <w:p w14:paraId="7337DFE1" w14:textId="77777777" w:rsidR="00DE3C06" w:rsidRPr="000C5171" w:rsidRDefault="00DE3C06" w:rsidP="00DE3C06">
      <w:pPr>
        <w:spacing w:after="0" w:line="240" w:lineRule="auto"/>
        <w:ind w:left="851"/>
        <w:jc w:val="center"/>
        <w:rPr>
          <w:rFonts w:cs="Times New Roman"/>
          <w:lang w:eastAsia="es-CO"/>
        </w:rPr>
      </w:pPr>
      <w:r w:rsidRPr="000C5171">
        <w:rPr>
          <w:rFonts w:cs="Tahoma"/>
          <w:b/>
          <w:bCs/>
          <w:sz w:val="22"/>
          <w:szCs w:val="22"/>
        </w:rPr>
        <w:t xml:space="preserve">Tabla 2. Proyectos e inversión en municipios PDET / histórico 2017 – 2026 por </w:t>
      </w:r>
      <w:r w:rsidRPr="000C5171">
        <w:rPr>
          <w:rFonts w:cs="Tahoma"/>
          <w:b/>
          <w:bCs/>
          <w:sz w:val="22"/>
          <w:szCs w:val="22"/>
        </w:rPr>
        <w:tab/>
        <w:t>fuentes de financiación</w:t>
      </w:r>
      <w:r w:rsidRPr="000C5171">
        <w:rPr>
          <w:rFonts w:cs="Tahoma"/>
          <w:b/>
          <w:bCs/>
          <w:sz w:val="14"/>
          <w:szCs w:val="14"/>
        </w:rPr>
        <w:footnoteReference w:id="20"/>
      </w:r>
      <w:r w:rsidRPr="000C5171">
        <w:rPr>
          <w:rFonts w:cs="Tahoma"/>
          <w:b/>
          <w:bCs/>
          <w:sz w:val="14"/>
          <w:szCs w:val="14"/>
        </w:rPr>
        <w:t xml:space="preserve"> </w:t>
      </w:r>
      <w:r w:rsidRPr="000C5171">
        <w:rPr>
          <w:rFonts w:cs="Tahoma"/>
          <w:b/>
          <w:bCs/>
          <w:sz w:val="22"/>
          <w:szCs w:val="22"/>
        </w:rPr>
        <w:t xml:space="preserve"> (corte: 31de mayo</w:t>
      </w:r>
      <w:r w:rsidRPr="000C5171">
        <w:rPr>
          <w:rStyle w:val="Refdenotaalpie"/>
          <w:rFonts w:cs="Tahoma"/>
          <w:b/>
          <w:bCs/>
          <w:sz w:val="22"/>
          <w:szCs w:val="22"/>
        </w:rPr>
        <w:footnoteReference w:id="21"/>
      </w:r>
      <w:r w:rsidRPr="000C5171">
        <w:rPr>
          <w:rFonts w:cs="Tahoma"/>
          <w:b/>
          <w:bCs/>
          <w:sz w:val="22"/>
          <w:szCs w:val="22"/>
        </w:rPr>
        <w:t xml:space="preserve">  2026</w:t>
      </w:r>
      <w:r w:rsidRPr="000C5171">
        <w:rPr>
          <w:sz w:val="18"/>
          <w:szCs w:val="18"/>
        </w:rPr>
        <w:t xml:space="preserve"> )</w:t>
      </w:r>
    </w:p>
    <w:p w14:paraId="4194A2D0" w14:textId="77777777" w:rsidR="00DE3C06" w:rsidRPr="000C5171" w:rsidRDefault="00DE3C06" w:rsidP="00DE3C06">
      <w:pPr>
        <w:spacing w:line="276" w:lineRule="auto"/>
        <w:jc w:val="both"/>
        <w:rPr>
          <w:rFonts w:eastAsiaTheme="minorEastAsia" w:cs="Arial"/>
          <w:b/>
          <w:bCs/>
          <w:color w:val="124F1A" w:themeColor="accent3" w:themeShade="BF"/>
          <w:sz w:val="14"/>
          <w:szCs w:val="14"/>
        </w:rPr>
      </w:pPr>
    </w:p>
    <w:tbl>
      <w:tblPr>
        <w:tblpPr w:leftFromText="141" w:rightFromText="141" w:vertAnchor="text" w:horzAnchor="margin" w:tblpY="28"/>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60" w:firstRow="1" w:lastRow="1" w:firstColumn="0" w:lastColumn="0" w:noHBand="1" w:noVBand="1"/>
      </w:tblPr>
      <w:tblGrid>
        <w:gridCol w:w="812"/>
        <w:gridCol w:w="958"/>
        <w:gridCol w:w="1202"/>
        <w:gridCol w:w="992"/>
        <w:gridCol w:w="1134"/>
        <w:gridCol w:w="993"/>
        <w:gridCol w:w="1275"/>
        <w:gridCol w:w="993"/>
        <w:gridCol w:w="1275"/>
      </w:tblGrid>
      <w:tr w:rsidR="00DE3C06" w:rsidRPr="000C5171" w14:paraId="0EC46AB2" w14:textId="77777777" w:rsidTr="008A49D0">
        <w:trPr>
          <w:trHeight w:val="246"/>
          <w:tblHeader/>
        </w:trPr>
        <w:tc>
          <w:tcPr>
            <w:tcW w:w="812" w:type="dxa"/>
            <w:vMerge w:val="restart"/>
            <w:tcBorders>
              <w:top w:val="single" w:sz="4" w:space="0" w:color="auto"/>
              <w:left w:val="single" w:sz="4" w:space="0" w:color="auto"/>
              <w:bottom w:val="single" w:sz="4" w:space="0" w:color="auto"/>
              <w:right w:val="single" w:sz="4" w:space="0" w:color="auto"/>
            </w:tcBorders>
            <w:shd w:val="clear" w:color="auto" w:fill="C1F0C7"/>
            <w:hideMark/>
          </w:tcPr>
          <w:p w14:paraId="7E36EAF0" w14:textId="77777777" w:rsidR="00DE3C06" w:rsidRPr="000C5171" w:rsidRDefault="00DE3C06" w:rsidP="008A49D0">
            <w:pPr>
              <w:jc w:val="center"/>
              <w:rPr>
                <w:rFonts w:eastAsiaTheme="minorEastAsia" w:cs="Arial"/>
                <w:b/>
                <w:bCs/>
                <w:color w:val="124F1A" w:themeColor="accent3" w:themeShade="BF"/>
                <w:sz w:val="16"/>
                <w:szCs w:val="16"/>
              </w:rPr>
            </w:pPr>
            <w:r w:rsidRPr="000C5171">
              <w:rPr>
                <w:rFonts w:eastAsiaTheme="minorEastAsia" w:cs="Arial"/>
                <w:b/>
                <w:bCs/>
                <w:color w:val="124F1A" w:themeColor="accent3" w:themeShade="BF"/>
                <w:sz w:val="16"/>
                <w:szCs w:val="16"/>
              </w:rPr>
              <w:t>Fuente</w:t>
            </w:r>
          </w:p>
        </w:tc>
        <w:tc>
          <w:tcPr>
            <w:tcW w:w="2160" w:type="dxa"/>
            <w:gridSpan w:val="2"/>
            <w:tcBorders>
              <w:top w:val="single" w:sz="4" w:space="0" w:color="auto"/>
              <w:left w:val="single" w:sz="4" w:space="0" w:color="auto"/>
              <w:bottom w:val="single" w:sz="4" w:space="0" w:color="auto"/>
              <w:right w:val="single" w:sz="4" w:space="0" w:color="auto"/>
            </w:tcBorders>
            <w:shd w:val="clear" w:color="auto" w:fill="C1F0C7"/>
            <w:hideMark/>
          </w:tcPr>
          <w:p w14:paraId="1BDFF02D" w14:textId="77777777" w:rsidR="00DE3C06" w:rsidRPr="000C5171" w:rsidRDefault="00DE3C06" w:rsidP="008A49D0">
            <w:pPr>
              <w:jc w:val="center"/>
              <w:rPr>
                <w:rFonts w:eastAsiaTheme="minorEastAsia" w:cs="Arial"/>
                <w:b/>
                <w:bCs/>
                <w:color w:val="124F1A" w:themeColor="accent3" w:themeShade="BF"/>
                <w:sz w:val="16"/>
                <w:szCs w:val="16"/>
              </w:rPr>
            </w:pPr>
            <w:r w:rsidRPr="000C5171">
              <w:rPr>
                <w:rFonts w:eastAsiaTheme="minorEastAsia" w:cs="Arial"/>
                <w:b/>
                <w:bCs/>
                <w:color w:val="124F1A" w:themeColor="accent3" w:themeShade="BF"/>
                <w:sz w:val="16"/>
                <w:szCs w:val="16"/>
              </w:rPr>
              <w:t>Total</w:t>
            </w:r>
          </w:p>
        </w:tc>
        <w:tc>
          <w:tcPr>
            <w:tcW w:w="2126" w:type="dxa"/>
            <w:gridSpan w:val="2"/>
            <w:tcBorders>
              <w:top w:val="single" w:sz="4" w:space="0" w:color="auto"/>
              <w:left w:val="single" w:sz="4" w:space="0" w:color="auto"/>
              <w:bottom w:val="single" w:sz="4" w:space="0" w:color="auto"/>
              <w:right w:val="single" w:sz="4" w:space="0" w:color="auto"/>
            </w:tcBorders>
            <w:shd w:val="clear" w:color="auto" w:fill="C1F0C7"/>
            <w:hideMark/>
          </w:tcPr>
          <w:p w14:paraId="790DB2E7" w14:textId="77777777" w:rsidR="00DE3C06" w:rsidRPr="000C5171" w:rsidRDefault="00DE3C06" w:rsidP="008A49D0">
            <w:pPr>
              <w:jc w:val="center"/>
              <w:rPr>
                <w:rFonts w:eastAsiaTheme="minorEastAsia" w:cs="Arial"/>
                <w:b/>
                <w:bCs/>
                <w:color w:val="124F1A" w:themeColor="accent3" w:themeShade="BF"/>
                <w:sz w:val="16"/>
                <w:szCs w:val="16"/>
              </w:rPr>
            </w:pPr>
            <w:r w:rsidRPr="000C5171">
              <w:rPr>
                <w:rFonts w:eastAsiaTheme="minorEastAsia" w:cs="Arial"/>
                <w:b/>
                <w:bCs/>
                <w:color w:val="124F1A" w:themeColor="accent3" w:themeShade="BF"/>
                <w:sz w:val="16"/>
                <w:szCs w:val="16"/>
              </w:rPr>
              <w:t>Por contratar</w:t>
            </w:r>
          </w:p>
        </w:tc>
        <w:tc>
          <w:tcPr>
            <w:tcW w:w="2268" w:type="dxa"/>
            <w:gridSpan w:val="2"/>
            <w:tcBorders>
              <w:top w:val="single" w:sz="4" w:space="0" w:color="auto"/>
              <w:left w:val="single" w:sz="4" w:space="0" w:color="auto"/>
              <w:bottom w:val="single" w:sz="4" w:space="0" w:color="auto"/>
              <w:right w:val="single" w:sz="4" w:space="0" w:color="auto"/>
            </w:tcBorders>
            <w:shd w:val="clear" w:color="auto" w:fill="C1F0C7"/>
            <w:hideMark/>
          </w:tcPr>
          <w:p w14:paraId="1D954FD7" w14:textId="77777777" w:rsidR="00DE3C06" w:rsidRPr="000C5171" w:rsidRDefault="00DE3C06" w:rsidP="008A49D0">
            <w:pPr>
              <w:jc w:val="center"/>
              <w:rPr>
                <w:rFonts w:eastAsiaTheme="minorEastAsia" w:cs="Arial"/>
                <w:b/>
                <w:bCs/>
                <w:color w:val="124F1A" w:themeColor="accent3" w:themeShade="BF"/>
                <w:sz w:val="16"/>
                <w:szCs w:val="16"/>
              </w:rPr>
            </w:pPr>
            <w:r w:rsidRPr="000C5171">
              <w:rPr>
                <w:rFonts w:eastAsiaTheme="minorEastAsia" w:cs="Arial"/>
                <w:b/>
                <w:bCs/>
                <w:color w:val="124F1A" w:themeColor="accent3" w:themeShade="BF"/>
                <w:sz w:val="16"/>
                <w:szCs w:val="16"/>
              </w:rPr>
              <w:t>En ejecución</w:t>
            </w:r>
          </w:p>
        </w:tc>
        <w:tc>
          <w:tcPr>
            <w:tcW w:w="2268" w:type="dxa"/>
            <w:gridSpan w:val="2"/>
            <w:tcBorders>
              <w:top w:val="single" w:sz="4" w:space="0" w:color="auto"/>
              <w:left w:val="single" w:sz="4" w:space="0" w:color="auto"/>
              <w:bottom w:val="single" w:sz="4" w:space="0" w:color="auto"/>
              <w:right w:val="single" w:sz="4" w:space="0" w:color="auto"/>
            </w:tcBorders>
            <w:shd w:val="clear" w:color="auto" w:fill="C1F0C7"/>
            <w:hideMark/>
          </w:tcPr>
          <w:p w14:paraId="0424B1C4" w14:textId="77777777" w:rsidR="00DE3C06" w:rsidRPr="000C5171" w:rsidRDefault="00DE3C06" w:rsidP="008A49D0">
            <w:pPr>
              <w:jc w:val="center"/>
              <w:rPr>
                <w:rFonts w:eastAsiaTheme="minorEastAsia" w:cs="Arial"/>
                <w:b/>
                <w:bCs/>
                <w:color w:val="124F1A" w:themeColor="accent3" w:themeShade="BF"/>
                <w:sz w:val="16"/>
                <w:szCs w:val="16"/>
              </w:rPr>
            </w:pPr>
            <w:r w:rsidRPr="000C5171">
              <w:rPr>
                <w:rFonts w:eastAsiaTheme="minorEastAsia" w:cs="Arial"/>
                <w:b/>
                <w:bCs/>
                <w:color w:val="124F1A" w:themeColor="accent3" w:themeShade="BF"/>
                <w:sz w:val="16"/>
                <w:szCs w:val="16"/>
              </w:rPr>
              <w:t>Terminados</w:t>
            </w:r>
          </w:p>
        </w:tc>
      </w:tr>
      <w:tr w:rsidR="00DE3C06" w:rsidRPr="000C5171" w14:paraId="169954EC" w14:textId="77777777" w:rsidTr="008A49D0">
        <w:trPr>
          <w:trHeight w:val="246"/>
          <w:tblHeader/>
        </w:trPr>
        <w:tc>
          <w:tcPr>
            <w:tcW w:w="812" w:type="dxa"/>
            <w:vMerge/>
            <w:tcBorders>
              <w:top w:val="single" w:sz="4" w:space="0" w:color="auto"/>
              <w:left w:val="single" w:sz="4" w:space="0" w:color="auto"/>
              <w:bottom w:val="single" w:sz="4" w:space="0" w:color="auto"/>
              <w:right w:val="single" w:sz="4" w:space="0" w:color="auto"/>
            </w:tcBorders>
            <w:vAlign w:val="center"/>
            <w:hideMark/>
          </w:tcPr>
          <w:p w14:paraId="203DF4E0" w14:textId="77777777" w:rsidR="00DE3C06" w:rsidRPr="000C5171" w:rsidRDefault="00DE3C06" w:rsidP="008A49D0">
            <w:pPr>
              <w:spacing w:after="0"/>
              <w:rPr>
                <w:rFonts w:eastAsiaTheme="minorEastAsia" w:cs="Arial"/>
                <w:b/>
                <w:bCs/>
                <w:color w:val="124F1A" w:themeColor="accent3" w:themeShade="BF"/>
                <w:sz w:val="16"/>
                <w:szCs w:val="16"/>
              </w:rPr>
            </w:pPr>
          </w:p>
        </w:tc>
        <w:tc>
          <w:tcPr>
            <w:tcW w:w="958" w:type="dxa"/>
            <w:tcBorders>
              <w:top w:val="single" w:sz="4" w:space="0" w:color="auto"/>
              <w:left w:val="single" w:sz="4" w:space="0" w:color="auto"/>
              <w:bottom w:val="single" w:sz="4" w:space="0" w:color="auto"/>
              <w:right w:val="single" w:sz="4" w:space="0" w:color="auto"/>
            </w:tcBorders>
            <w:shd w:val="clear" w:color="auto" w:fill="C1F0C7"/>
            <w:vAlign w:val="center"/>
            <w:hideMark/>
          </w:tcPr>
          <w:p w14:paraId="03E7F06C" w14:textId="77777777" w:rsidR="00DE3C06" w:rsidRPr="000C5171" w:rsidRDefault="00DE3C06" w:rsidP="008A49D0">
            <w:pPr>
              <w:jc w:val="center"/>
              <w:rPr>
                <w:rFonts w:eastAsiaTheme="minorEastAsia" w:cs="Arial"/>
                <w:b/>
                <w:bCs/>
                <w:color w:val="124F1A" w:themeColor="accent3" w:themeShade="BF"/>
                <w:sz w:val="16"/>
                <w:szCs w:val="16"/>
              </w:rPr>
            </w:pPr>
            <w:r w:rsidRPr="000C5171">
              <w:rPr>
                <w:rFonts w:eastAsiaTheme="minorEastAsia" w:cs="Arial"/>
                <w:b/>
                <w:bCs/>
                <w:color w:val="124F1A" w:themeColor="accent3" w:themeShade="BF"/>
                <w:sz w:val="16"/>
                <w:szCs w:val="16"/>
              </w:rPr>
              <w:t>Proyectos</w:t>
            </w:r>
          </w:p>
        </w:tc>
        <w:tc>
          <w:tcPr>
            <w:tcW w:w="1202" w:type="dxa"/>
            <w:tcBorders>
              <w:top w:val="single" w:sz="4" w:space="0" w:color="auto"/>
              <w:left w:val="single" w:sz="4" w:space="0" w:color="auto"/>
              <w:bottom w:val="single" w:sz="4" w:space="0" w:color="auto"/>
              <w:right w:val="single" w:sz="4" w:space="0" w:color="auto"/>
            </w:tcBorders>
            <w:shd w:val="clear" w:color="auto" w:fill="C1F0C7"/>
            <w:vAlign w:val="center"/>
            <w:hideMark/>
          </w:tcPr>
          <w:p w14:paraId="73FF17CD" w14:textId="77777777" w:rsidR="00DE3C06" w:rsidRPr="000C5171" w:rsidRDefault="00DE3C06" w:rsidP="008A49D0">
            <w:pPr>
              <w:jc w:val="center"/>
              <w:rPr>
                <w:rFonts w:eastAsiaTheme="minorEastAsia" w:cs="Arial"/>
                <w:b/>
                <w:bCs/>
                <w:color w:val="124F1A" w:themeColor="accent3" w:themeShade="BF"/>
                <w:sz w:val="16"/>
                <w:szCs w:val="16"/>
              </w:rPr>
            </w:pPr>
            <w:r w:rsidRPr="000C5171">
              <w:rPr>
                <w:rFonts w:eastAsiaTheme="minorEastAsia" w:cs="Arial"/>
                <w:b/>
                <w:bCs/>
                <w:color w:val="124F1A" w:themeColor="accent3" w:themeShade="BF"/>
                <w:sz w:val="16"/>
                <w:szCs w:val="16"/>
              </w:rPr>
              <w:t>Inversión</w:t>
            </w:r>
          </w:p>
        </w:tc>
        <w:tc>
          <w:tcPr>
            <w:tcW w:w="992" w:type="dxa"/>
            <w:tcBorders>
              <w:top w:val="single" w:sz="4" w:space="0" w:color="auto"/>
              <w:left w:val="single" w:sz="4" w:space="0" w:color="auto"/>
              <w:bottom w:val="single" w:sz="4" w:space="0" w:color="auto"/>
              <w:right w:val="single" w:sz="4" w:space="0" w:color="auto"/>
            </w:tcBorders>
            <w:shd w:val="clear" w:color="auto" w:fill="C1F0C7"/>
            <w:vAlign w:val="center"/>
            <w:hideMark/>
          </w:tcPr>
          <w:p w14:paraId="1C4118FF" w14:textId="77777777" w:rsidR="00DE3C06" w:rsidRPr="000C5171" w:rsidRDefault="00DE3C06" w:rsidP="008A49D0">
            <w:pPr>
              <w:jc w:val="center"/>
              <w:rPr>
                <w:rFonts w:eastAsiaTheme="minorEastAsia" w:cs="Arial"/>
                <w:b/>
                <w:bCs/>
                <w:color w:val="124F1A" w:themeColor="accent3" w:themeShade="BF"/>
                <w:sz w:val="16"/>
                <w:szCs w:val="16"/>
              </w:rPr>
            </w:pPr>
            <w:r w:rsidRPr="000C5171">
              <w:rPr>
                <w:rFonts w:eastAsiaTheme="minorEastAsia" w:cs="Arial"/>
                <w:b/>
                <w:bCs/>
                <w:color w:val="124F1A" w:themeColor="accent3" w:themeShade="BF"/>
                <w:sz w:val="16"/>
                <w:szCs w:val="16"/>
              </w:rPr>
              <w:t>Proyectos</w:t>
            </w:r>
          </w:p>
        </w:tc>
        <w:tc>
          <w:tcPr>
            <w:tcW w:w="1134" w:type="dxa"/>
            <w:tcBorders>
              <w:top w:val="single" w:sz="4" w:space="0" w:color="auto"/>
              <w:left w:val="single" w:sz="4" w:space="0" w:color="auto"/>
              <w:bottom w:val="single" w:sz="4" w:space="0" w:color="auto"/>
              <w:right w:val="single" w:sz="4" w:space="0" w:color="auto"/>
            </w:tcBorders>
            <w:shd w:val="clear" w:color="auto" w:fill="C1F0C7"/>
            <w:vAlign w:val="center"/>
            <w:hideMark/>
          </w:tcPr>
          <w:p w14:paraId="0868BC7E" w14:textId="77777777" w:rsidR="00DE3C06" w:rsidRPr="000C5171" w:rsidRDefault="00DE3C06" w:rsidP="008A49D0">
            <w:pPr>
              <w:jc w:val="center"/>
              <w:rPr>
                <w:rFonts w:eastAsiaTheme="minorEastAsia" w:cs="Arial"/>
                <w:b/>
                <w:bCs/>
                <w:color w:val="124F1A" w:themeColor="accent3" w:themeShade="BF"/>
                <w:sz w:val="16"/>
                <w:szCs w:val="16"/>
              </w:rPr>
            </w:pPr>
            <w:r w:rsidRPr="000C5171">
              <w:rPr>
                <w:rFonts w:eastAsiaTheme="minorEastAsia" w:cs="Arial"/>
                <w:b/>
                <w:bCs/>
                <w:color w:val="124F1A" w:themeColor="accent3" w:themeShade="BF"/>
                <w:sz w:val="16"/>
                <w:szCs w:val="16"/>
              </w:rPr>
              <w:t>Inversión</w:t>
            </w:r>
          </w:p>
        </w:tc>
        <w:tc>
          <w:tcPr>
            <w:tcW w:w="993" w:type="dxa"/>
            <w:tcBorders>
              <w:top w:val="single" w:sz="4" w:space="0" w:color="auto"/>
              <w:left w:val="single" w:sz="4" w:space="0" w:color="auto"/>
              <w:bottom w:val="single" w:sz="4" w:space="0" w:color="auto"/>
              <w:right w:val="single" w:sz="4" w:space="0" w:color="auto"/>
            </w:tcBorders>
            <w:shd w:val="clear" w:color="auto" w:fill="C1F0C7"/>
            <w:vAlign w:val="center"/>
            <w:hideMark/>
          </w:tcPr>
          <w:p w14:paraId="3513D6AF" w14:textId="77777777" w:rsidR="00DE3C06" w:rsidRPr="000C5171" w:rsidRDefault="00DE3C06" w:rsidP="008A49D0">
            <w:pPr>
              <w:jc w:val="center"/>
              <w:rPr>
                <w:rFonts w:eastAsiaTheme="minorEastAsia" w:cs="Arial"/>
                <w:b/>
                <w:bCs/>
                <w:color w:val="124F1A" w:themeColor="accent3" w:themeShade="BF"/>
                <w:sz w:val="16"/>
                <w:szCs w:val="16"/>
              </w:rPr>
            </w:pPr>
            <w:r w:rsidRPr="000C5171">
              <w:rPr>
                <w:rFonts w:eastAsiaTheme="minorEastAsia" w:cs="Arial"/>
                <w:b/>
                <w:bCs/>
                <w:color w:val="124F1A" w:themeColor="accent3" w:themeShade="BF"/>
                <w:sz w:val="16"/>
                <w:szCs w:val="16"/>
              </w:rPr>
              <w:t>Proyectos</w:t>
            </w:r>
          </w:p>
        </w:tc>
        <w:tc>
          <w:tcPr>
            <w:tcW w:w="1275" w:type="dxa"/>
            <w:tcBorders>
              <w:top w:val="single" w:sz="4" w:space="0" w:color="auto"/>
              <w:left w:val="single" w:sz="4" w:space="0" w:color="auto"/>
              <w:bottom w:val="single" w:sz="4" w:space="0" w:color="auto"/>
              <w:right w:val="single" w:sz="4" w:space="0" w:color="auto"/>
            </w:tcBorders>
            <w:shd w:val="clear" w:color="auto" w:fill="C1F0C7"/>
            <w:vAlign w:val="center"/>
            <w:hideMark/>
          </w:tcPr>
          <w:p w14:paraId="551FD828" w14:textId="77777777" w:rsidR="00DE3C06" w:rsidRPr="000C5171" w:rsidRDefault="00DE3C06" w:rsidP="008A49D0">
            <w:pPr>
              <w:jc w:val="center"/>
              <w:rPr>
                <w:rFonts w:eastAsiaTheme="minorEastAsia" w:cs="Arial"/>
                <w:b/>
                <w:bCs/>
                <w:color w:val="124F1A" w:themeColor="accent3" w:themeShade="BF"/>
                <w:sz w:val="16"/>
                <w:szCs w:val="16"/>
              </w:rPr>
            </w:pPr>
            <w:r w:rsidRPr="000C5171">
              <w:rPr>
                <w:rFonts w:eastAsiaTheme="minorEastAsia" w:cs="Arial"/>
                <w:b/>
                <w:bCs/>
                <w:color w:val="124F1A" w:themeColor="accent3" w:themeShade="BF"/>
                <w:sz w:val="16"/>
                <w:szCs w:val="16"/>
              </w:rPr>
              <w:t>Inversión</w:t>
            </w:r>
          </w:p>
        </w:tc>
        <w:tc>
          <w:tcPr>
            <w:tcW w:w="993" w:type="dxa"/>
            <w:tcBorders>
              <w:top w:val="single" w:sz="4" w:space="0" w:color="auto"/>
              <w:left w:val="single" w:sz="4" w:space="0" w:color="auto"/>
              <w:bottom w:val="single" w:sz="4" w:space="0" w:color="auto"/>
              <w:right w:val="single" w:sz="4" w:space="0" w:color="auto"/>
            </w:tcBorders>
            <w:shd w:val="clear" w:color="auto" w:fill="C1F0C7"/>
            <w:vAlign w:val="center"/>
            <w:hideMark/>
          </w:tcPr>
          <w:p w14:paraId="41B4558A" w14:textId="77777777" w:rsidR="00DE3C06" w:rsidRPr="000C5171" w:rsidRDefault="00DE3C06" w:rsidP="008A49D0">
            <w:pPr>
              <w:jc w:val="center"/>
              <w:rPr>
                <w:rFonts w:eastAsiaTheme="minorEastAsia" w:cs="Arial"/>
                <w:b/>
                <w:bCs/>
                <w:color w:val="124F1A" w:themeColor="accent3" w:themeShade="BF"/>
                <w:sz w:val="16"/>
                <w:szCs w:val="16"/>
              </w:rPr>
            </w:pPr>
            <w:r w:rsidRPr="000C5171">
              <w:rPr>
                <w:rFonts w:eastAsiaTheme="minorEastAsia" w:cs="Arial"/>
                <w:b/>
                <w:bCs/>
                <w:color w:val="124F1A" w:themeColor="accent3" w:themeShade="BF"/>
                <w:sz w:val="16"/>
                <w:szCs w:val="16"/>
              </w:rPr>
              <w:t>Proyectos</w:t>
            </w:r>
          </w:p>
        </w:tc>
        <w:tc>
          <w:tcPr>
            <w:tcW w:w="1275" w:type="dxa"/>
            <w:tcBorders>
              <w:top w:val="single" w:sz="4" w:space="0" w:color="auto"/>
              <w:left w:val="single" w:sz="4" w:space="0" w:color="auto"/>
              <w:bottom w:val="single" w:sz="4" w:space="0" w:color="auto"/>
              <w:right w:val="single" w:sz="4" w:space="0" w:color="auto"/>
            </w:tcBorders>
            <w:shd w:val="clear" w:color="auto" w:fill="C1F0C7"/>
            <w:vAlign w:val="center"/>
            <w:hideMark/>
          </w:tcPr>
          <w:p w14:paraId="3E427543" w14:textId="77777777" w:rsidR="00DE3C06" w:rsidRPr="000C5171" w:rsidRDefault="00DE3C06" w:rsidP="008A49D0">
            <w:pPr>
              <w:jc w:val="center"/>
              <w:rPr>
                <w:rFonts w:eastAsiaTheme="minorEastAsia" w:cs="Arial"/>
                <w:b/>
                <w:bCs/>
                <w:color w:val="124F1A" w:themeColor="accent3" w:themeShade="BF"/>
                <w:sz w:val="16"/>
                <w:szCs w:val="16"/>
              </w:rPr>
            </w:pPr>
            <w:r w:rsidRPr="000C5171">
              <w:rPr>
                <w:rFonts w:eastAsiaTheme="minorEastAsia" w:cs="Arial"/>
                <w:b/>
                <w:bCs/>
                <w:color w:val="124F1A" w:themeColor="accent3" w:themeShade="BF"/>
                <w:sz w:val="16"/>
                <w:szCs w:val="16"/>
              </w:rPr>
              <w:t>Inversión</w:t>
            </w:r>
          </w:p>
        </w:tc>
      </w:tr>
      <w:tr w:rsidR="00DE3C06" w:rsidRPr="000C5171" w14:paraId="7762025E" w14:textId="77777777" w:rsidTr="008A49D0">
        <w:trPr>
          <w:trHeight w:val="246"/>
        </w:trPr>
        <w:tc>
          <w:tcPr>
            <w:tcW w:w="812" w:type="dxa"/>
            <w:tcBorders>
              <w:top w:val="single" w:sz="4" w:space="0" w:color="auto"/>
              <w:left w:val="single" w:sz="4" w:space="0" w:color="auto"/>
              <w:bottom w:val="single" w:sz="4" w:space="0" w:color="auto"/>
              <w:right w:val="single" w:sz="4" w:space="0" w:color="auto"/>
            </w:tcBorders>
            <w:hideMark/>
          </w:tcPr>
          <w:p w14:paraId="135BA373" w14:textId="77777777" w:rsidR="00DE3C06" w:rsidRPr="000C5171" w:rsidRDefault="00DE3C06" w:rsidP="008A49D0">
            <w:pPr>
              <w:rPr>
                <w:rFonts w:eastAsiaTheme="minorEastAsia" w:cs="Arial"/>
                <w:color w:val="124F1A" w:themeColor="accent3" w:themeShade="BF"/>
                <w:sz w:val="16"/>
                <w:szCs w:val="16"/>
              </w:rPr>
            </w:pPr>
            <w:r w:rsidRPr="000C5171">
              <w:rPr>
                <w:rFonts w:eastAsiaTheme="minorEastAsia" w:cs="Arial"/>
                <w:color w:val="124F1A" w:themeColor="accent3" w:themeShade="BF"/>
                <w:sz w:val="16"/>
                <w:szCs w:val="16"/>
              </w:rPr>
              <w:t>Total, general</w:t>
            </w:r>
          </w:p>
        </w:tc>
        <w:tc>
          <w:tcPr>
            <w:tcW w:w="958" w:type="dxa"/>
            <w:tcBorders>
              <w:top w:val="single" w:sz="4" w:space="0" w:color="auto"/>
              <w:left w:val="single" w:sz="4" w:space="0" w:color="auto"/>
              <w:bottom w:val="single" w:sz="4" w:space="0" w:color="auto"/>
              <w:right w:val="single" w:sz="4" w:space="0" w:color="auto"/>
            </w:tcBorders>
            <w:hideMark/>
          </w:tcPr>
          <w:p w14:paraId="3D9A31B8" w14:textId="77777777" w:rsidR="00DE3C06" w:rsidRPr="000C5171" w:rsidRDefault="00DE3C06" w:rsidP="008A49D0">
            <w:pPr>
              <w:jc w:val="center"/>
              <w:rPr>
                <w:rFonts w:eastAsiaTheme="minorEastAsia" w:cs="Arial"/>
                <w:color w:val="124F1A" w:themeColor="accent3" w:themeShade="BF"/>
                <w:sz w:val="16"/>
                <w:szCs w:val="16"/>
              </w:rPr>
            </w:pPr>
            <w:r w:rsidRPr="000C5171">
              <w:rPr>
                <w:rFonts w:eastAsiaTheme="minorEastAsia" w:cs="Arial"/>
                <w:b/>
                <w:bCs/>
                <w:color w:val="000000" w:themeColor="text1"/>
                <w:kern w:val="24"/>
                <w:sz w:val="16"/>
                <w:szCs w:val="16"/>
              </w:rPr>
              <w:t>16.511</w:t>
            </w:r>
          </w:p>
        </w:tc>
        <w:tc>
          <w:tcPr>
            <w:tcW w:w="1202" w:type="dxa"/>
            <w:tcBorders>
              <w:top w:val="single" w:sz="4" w:space="0" w:color="auto"/>
              <w:left w:val="single" w:sz="4" w:space="0" w:color="auto"/>
              <w:bottom w:val="single" w:sz="4" w:space="0" w:color="auto"/>
              <w:right w:val="single" w:sz="4" w:space="0" w:color="auto"/>
            </w:tcBorders>
            <w:hideMark/>
          </w:tcPr>
          <w:p w14:paraId="5F72297F" w14:textId="77777777" w:rsidR="00DE3C06" w:rsidRPr="000C5171" w:rsidRDefault="00DE3C06" w:rsidP="008A49D0">
            <w:pPr>
              <w:jc w:val="center"/>
              <w:rPr>
                <w:rFonts w:eastAsiaTheme="minorEastAsia" w:cs="Arial"/>
                <w:color w:val="124F1A" w:themeColor="accent3" w:themeShade="BF"/>
                <w:sz w:val="16"/>
                <w:szCs w:val="16"/>
              </w:rPr>
            </w:pPr>
            <w:r w:rsidRPr="000C5171">
              <w:rPr>
                <w:rFonts w:eastAsiaTheme="minorEastAsia" w:cs="Arial"/>
                <w:b/>
                <w:bCs/>
                <w:color w:val="000000" w:themeColor="text1"/>
                <w:kern w:val="24"/>
                <w:sz w:val="16"/>
                <w:szCs w:val="16"/>
              </w:rPr>
              <w:t>$49.484.408</w:t>
            </w:r>
          </w:p>
        </w:tc>
        <w:tc>
          <w:tcPr>
            <w:tcW w:w="992" w:type="dxa"/>
            <w:tcBorders>
              <w:top w:val="single" w:sz="4" w:space="0" w:color="auto"/>
              <w:left w:val="single" w:sz="4" w:space="0" w:color="auto"/>
              <w:bottom w:val="single" w:sz="4" w:space="0" w:color="auto"/>
              <w:right w:val="single" w:sz="4" w:space="0" w:color="auto"/>
            </w:tcBorders>
            <w:hideMark/>
          </w:tcPr>
          <w:p w14:paraId="39AEDC2E" w14:textId="77777777" w:rsidR="00DE3C06" w:rsidRPr="000C5171" w:rsidRDefault="00DE3C06" w:rsidP="008A49D0">
            <w:pPr>
              <w:jc w:val="center"/>
              <w:rPr>
                <w:rFonts w:eastAsiaTheme="minorEastAsia" w:cs="Arial"/>
                <w:color w:val="124F1A" w:themeColor="accent3" w:themeShade="BF"/>
                <w:sz w:val="16"/>
                <w:szCs w:val="16"/>
              </w:rPr>
            </w:pPr>
            <w:r w:rsidRPr="000C5171">
              <w:rPr>
                <w:rFonts w:eastAsiaTheme="minorEastAsia" w:cs="Arial"/>
                <w:b/>
                <w:bCs/>
                <w:color w:val="000000" w:themeColor="text1"/>
                <w:kern w:val="24"/>
                <w:sz w:val="16"/>
                <w:szCs w:val="16"/>
              </w:rPr>
              <w:t>322</w:t>
            </w:r>
          </w:p>
        </w:tc>
        <w:tc>
          <w:tcPr>
            <w:tcW w:w="1134" w:type="dxa"/>
            <w:tcBorders>
              <w:top w:val="single" w:sz="4" w:space="0" w:color="auto"/>
              <w:left w:val="single" w:sz="4" w:space="0" w:color="auto"/>
              <w:bottom w:val="single" w:sz="4" w:space="0" w:color="auto"/>
              <w:right w:val="single" w:sz="4" w:space="0" w:color="auto"/>
            </w:tcBorders>
            <w:hideMark/>
          </w:tcPr>
          <w:p w14:paraId="0441B1E6" w14:textId="77777777" w:rsidR="00DE3C06" w:rsidRPr="000C5171" w:rsidRDefault="00DE3C06" w:rsidP="008A49D0">
            <w:pPr>
              <w:jc w:val="center"/>
              <w:rPr>
                <w:rFonts w:eastAsiaTheme="minorEastAsia" w:cs="Arial"/>
                <w:color w:val="124F1A" w:themeColor="accent3" w:themeShade="BF"/>
                <w:sz w:val="16"/>
                <w:szCs w:val="16"/>
              </w:rPr>
            </w:pPr>
            <w:r w:rsidRPr="000C5171">
              <w:rPr>
                <w:rFonts w:eastAsiaTheme="minorEastAsia" w:cs="Arial"/>
                <w:b/>
                <w:bCs/>
                <w:color w:val="000000" w:themeColor="text1"/>
                <w:kern w:val="24"/>
                <w:sz w:val="16"/>
                <w:szCs w:val="16"/>
              </w:rPr>
              <w:t>$2.242.400</w:t>
            </w:r>
          </w:p>
        </w:tc>
        <w:tc>
          <w:tcPr>
            <w:tcW w:w="993" w:type="dxa"/>
            <w:tcBorders>
              <w:top w:val="single" w:sz="4" w:space="0" w:color="auto"/>
              <w:left w:val="single" w:sz="4" w:space="0" w:color="auto"/>
              <w:bottom w:val="single" w:sz="4" w:space="0" w:color="auto"/>
              <w:right w:val="single" w:sz="4" w:space="0" w:color="auto"/>
            </w:tcBorders>
            <w:hideMark/>
          </w:tcPr>
          <w:p w14:paraId="67526838" w14:textId="77777777" w:rsidR="00DE3C06" w:rsidRPr="000C5171" w:rsidRDefault="00DE3C06" w:rsidP="008A49D0">
            <w:pPr>
              <w:jc w:val="center"/>
              <w:rPr>
                <w:rFonts w:eastAsiaTheme="minorEastAsia" w:cs="Arial"/>
                <w:color w:val="124F1A" w:themeColor="accent3" w:themeShade="BF"/>
                <w:sz w:val="16"/>
                <w:szCs w:val="16"/>
              </w:rPr>
            </w:pPr>
            <w:r w:rsidRPr="000C5171">
              <w:rPr>
                <w:rFonts w:eastAsiaTheme="minorEastAsia" w:cs="Arial"/>
                <w:b/>
                <w:bCs/>
                <w:color w:val="000000" w:themeColor="text1"/>
                <w:kern w:val="24"/>
                <w:sz w:val="16"/>
                <w:szCs w:val="16"/>
              </w:rPr>
              <w:t>10.038</w:t>
            </w:r>
          </w:p>
        </w:tc>
        <w:tc>
          <w:tcPr>
            <w:tcW w:w="1275" w:type="dxa"/>
            <w:tcBorders>
              <w:top w:val="single" w:sz="4" w:space="0" w:color="auto"/>
              <w:left w:val="single" w:sz="4" w:space="0" w:color="auto"/>
              <w:bottom w:val="single" w:sz="4" w:space="0" w:color="auto"/>
              <w:right w:val="single" w:sz="4" w:space="0" w:color="auto"/>
            </w:tcBorders>
            <w:hideMark/>
          </w:tcPr>
          <w:p w14:paraId="5F7517DD" w14:textId="77777777" w:rsidR="00DE3C06" w:rsidRPr="000C5171" w:rsidRDefault="00DE3C06" w:rsidP="008A49D0">
            <w:pPr>
              <w:jc w:val="center"/>
              <w:rPr>
                <w:rFonts w:eastAsiaTheme="minorEastAsia" w:cs="Arial"/>
                <w:color w:val="124F1A" w:themeColor="accent3" w:themeShade="BF"/>
                <w:sz w:val="16"/>
                <w:szCs w:val="16"/>
              </w:rPr>
            </w:pPr>
            <w:r w:rsidRPr="000C5171">
              <w:rPr>
                <w:rFonts w:eastAsiaTheme="minorEastAsia" w:cs="Arial"/>
                <w:b/>
                <w:bCs/>
                <w:color w:val="000000" w:themeColor="text1"/>
                <w:kern w:val="24"/>
                <w:sz w:val="16"/>
                <w:szCs w:val="16"/>
              </w:rPr>
              <w:t>$24.241.429</w:t>
            </w:r>
          </w:p>
        </w:tc>
        <w:tc>
          <w:tcPr>
            <w:tcW w:w="993" w:type="dxa"/>
            <w:tcBorders>
              <w:top w:val="single" w:sz="4" w:space="0" w:color="auto"/>
              <w:left w:val="single" w:sz="4" w:space="0" w:color="auto"/>
              <w:bottom w:val="single" w:sz="4" w:space="0" w:color="auto"/>
              <w:right w:val="single" w:sz="4" w:space="0" w:color="auto"/>
            </w:tcBorders>
            <w:hideMark/>
          </w:tcPr>
          <w:p w14:paraId="2A216C3A" w14:textId="77777777" w:rsidR="00DE3C06" w:rsidRPr="000C5171" w:rsidRDefault="00DE3C06" w:rsidP="008A49D0">
            <w:pPr>
              <w:jc w:val="center"/>
              <w:rPr>
                <w:rFonts w:eastAsiaTheme="minorEastAsia" w:cs="Arial"/>
                <w:color w:val="124F1A" w:themeColor="accent3" w:themeShade="BF"/>
                <w:sz w:val="16"/>
                <w:szCs w:val="16"/>
              </w:rPr>
            </w:pPr>
            <w:r w:rsidRPr="000C5171">
              <w:rPr>
                <w:rFonts w:eastAsiaTheme="minorEastAsia" w:cs="Arial"/>
                <w:b/>
                <w:bCs/>
                <w:color w:val="000000" w:themeColor="text1"/>
                <w:kern w:val="24"/>
                <w:sz w:val="16"/>
                <w:szCs w:val="16"/>
              </w:rPr>
              <w:t>6.151</w:t>
            </w:r>
          </w:p>
        </w:tc>
        <w:tc>
          <w:tcPr>
            <w:tcW w:w="1275" w:type="dxa"/>
            <w:tcBorders>
              <w:top w:val="single" w:sz="4" w:space="0" w:color="auto"/>
              <w:left w:val="single" w:sz="4" w:space="0" w:color="auto"/>
              <w:bottom w:val="single" w:sz="4" w:space="0" w:color="auto"/>
              <w:right w:val="single" w:sz="4" w:space="0" w:color="auto"/>
            </w:tcBorders>
            <w:hideMark/>
          </w:tcPr>
          <w:p w14:paraId="5F41B8F9" w14:textId="77777777" w:rsidR="00DE3C06" w:rsidRPr="000C5171" w:rsidRDefault="00DE3C06" w:rsidP="008A49D0">
            <w:pPr>
              <w:jc w:val="center"/>
              <w:rPr>
                <w:rFonts w:eastAsiaTheme="minorEastAsia" w:cs="Arial"/>
                <w:color w:val="124F1A" w:themeColor="accent3" w:themeShade="BF"/>
                <w:sz w:val="16"/>
                <w:szCs w:val="16"/>
              </w:rPr>
            </w:pPr>
            <w:r w:rsidRPr="000C5171">
              <w:rPr>
                <w:rFonts w:eastAsiaTheme="minorEastAsia" w:cs="Arial"/>
                <w:b/>
                <w:bCs/>
                <w:color w:val="000000" w:themeColor="text1"/>
                <w:kern w:val="24"/>
                <w:sz w:val="16"/>
                <w:szCs w:val="16"/>
              </w:rPr>
              <w:t>$23.000.580</w:t>
            </w:r>
          </w:p>
        </w:tc>
      </w:tr>
    </w:tbl>
    <w:p w14:paraId="0601CF28" w14:textId="77777777" w:rsidR="00DE3C06" w:rsidRPr="000C5171" w:rsidRDefault="00DE3C06" w:rsidP="00DE3C06">
      <w:pPr>
        <w:spacing w:line="276" w:lineRule="auto"/>
        <w:ind w:left="284" w:hanging="284"/>
        <w:jc w:val="center"/>
        <w:rPr>
          <w:rFonts w:cs="Arial"/>
          <w:sz w:val="16"/>
          <w:szCs w:val="16"/>
        </w:rPr>
      </w:pPr>
      <w:r w:rsidRPr="000C5171">
        <w:rPr>
          <w:rFonts w:cs="Arial"/>
          <w:sz w:val="16"/>
          <w:szCs w:val="16"/>
        </w:rPr>
        <w:t>Cifras en millones de pesos - precios constantes de 2016</w:t>
      </w:r>
    </w:p>
    <w:p w14:paraId="0E74E084" w14:textId="77777777" w:rsidR="00DE3C06" w:rsidRPr="000C5171" w:rsidRDefault="00DE3C06" w:rsidP="00DE3C06">
      <w:pPr>
        <w:spacing w:line="276" w:lineRule="auto"/>
        <w:ind w:left="709"/>
        <w:jc w:val="both"/>
        <w:rPr>
          <w:sz w:val="18"/>
          <w:szCs w:val="18"/>
        </w:rPr>
      </w:pPr>
      <w:r w:rsidRPr="000C5171">
        <w:rPr>
          <w:rFonts w:cs="Tahoma"/>
          <w:sz w:val="22"/>
          <w:szCs w:val="22"/>
        </w:rPr>
        <w:t xml:space="preserve">Se incluye </w:t>
      </w:r>
      <w:r w:rsidRPr="000C5171">
        <w:rPr>
          <w:rFonts w:eastAsia="Arial" w:cs="Tahoma"/>
          <w:sz w:val="22"/>
          <w:szCs w:val="22"/>
        </w:rPr>
        <w:t>el</w:t>
      </w:r>
      <w:r w:rsidRPr="000C5171">
        <w:rPr>
          <w:rFonts w:cs="Tahoma"/>
          <w:sz w:val="22"/>
          <w:szCs w:val="22"/>
        </w:rPr>
        <w:t xml:space="preserve"> </w:t>
      </w:r>
      <w:r w:rsidRPr="000C5171">
        <w:rPr>
          <w:rFonts w:cs="Tahoma"/>
          <w:b/>
          <w:bCs/>
          <w:sz w:val="22"/>
          <w:szCs w:val="22"/>
        </w:rPr>
        <w:t>ANEXO 5</w:t>
      </w:r>
      <w:r w:rsidRPr="000C5171">
        <w:rPr>
          <w:rFonts w:cs="Tahoma"/>
          <w:sz w:val="22"/>
          <w:szCs w:val="22"/>
        </w:rPr>
        <w:t xml:space="preserve"> con los datos de proyectos e inversión en municipios PDET - Histórico 2017 – </w:t>
      </w:r>
      <w:proofErr w:type="gramStart"/>
      <w:r w:rsidRPr="000C5171">
        <w:rPr>
          <w:rFonts w:cs="Tahoma"/>
          <w:sz w:val="22"/>
          <w:szCs w:val="22"/>
        </w:rPr>
        <w:t>2026,  por</w:t>
      </w:r>
      <w:proofErr w:type="gramEnd"/>
      <w:r w:rsidRPr="000C5171">
        <w:rPr>
          <w:rFonts w:cs="Tahoma"/>
          <w:sz w:val="22"/>
          <w:szCs w:val="22"/>
        </w:rPr>
        <w:t xml:space="preserve"> fuente de financiación: </w:t>
      </w:r>
      <w:r w:rsidRPr="000C5171">
        <w:rPr>
          <w:sz w:val="22"/>
          <w:szCs w:val="22"/>
        </w:rPr>
        <w:t>Fuentes: (i) OCAD Paz y otras fuentes del SGR: DNP- SUIFP SGR y GESPROY (</w:t>
      </w:r>
      <w:proofErr w:type="spellStart"/>
      <w:r w:rsidRPr="000C5171">
        <w:rPr>
          <w:sz w:val="22"/>
          <w:szCs w:val="22"/>
        </w:rPr>
        <w:t>ii</w:t>
      </w:r>
      <w:proofErr w:type="spellEnd"/>
      <w:r w:rsidRPr="000C5171">
        <w:rPr>
          <w:sz w:val="22"/>
          <w:szCs w:val="22"/>
        </w:rPr>
        <w:t>) Obras por impuestos, ART (FCP – PGN), Cooperación y privados: Sistema Gestión de Oferta ART, (</w:t>
      </w:r>
      <w:proofErr w:type="spellStart"/>
      <w:r w:rsidRPr="000C5171">
        <w:rPr>
          <w:sz w:val="22"/>
          <w:szCs w:val="22"/>
        </w:rPr>
        <w:t>iii</w:t>
      </w:r>
      <w:proofErr w:type="spellEnd"/>
      <w:r w:rsidRPr="000C5171">
        <w:rPr>
          <w:sz w:val="22"/>
          <w:szCs w:val="22"/>
        </w:rPr>
        <w:t>) Trazador Paz</w:t>
      </w:r>
      <w:r w:rsidRPr="000C5171">
        <w:rPr>
          <w:rStyle w:val="Refdenotaalpie"/>
          <w:sz w:val="22"/>
          <w:szCs w:val="22"/>
        </w:rPr>
        <w:footnoteReference w:id="22"/>
      </w:r>
      <w:r w:rsidRPr="000C5171">
        <w:rPr>
          <w:sz w:val="22"/>
          <w:szCs w:val="22"/>
        </w:rPr>
        <w:t xml:space="preserve"> PDET: DNP - PIIP (antes SPI) y (</w:t>
      </w:r>
      <w:proofErr w:type="spellStart"/>
      <w:r w:rsidRPr="000C5171">
        <w:rPr>
          <w:sz w:val="22"/>
          <w:szCs w:val="22"/>
        </w:rPr>
        <w:t>iv</w:t>
      </w:r>
      <w:proofErr w:type="spellEnd"/>
      <w:r w:rsidRPr="000C5171">
        <w:rPr>
          <w:sz w:val="22"/>
          <w:szCs w:val="22"/>
        </w:rPr>
        <w:t>) SGP / propios territoriales DNP - SUIFP Territorio.</w:t>
      </w:r>
    </w:p>
    <w:p w14:paraId="34D5D729" w14:textId="77777777" w:rsidR="00DE3C06" w:rsidRPr="000C5171" w:rsidRDefault="00DE3C06" w:rsidP="00DE3C06">
      <w:pPr>
        <w:tabs>
          <w:tab w:val="left" w:pos="851"/>
        </w:tabs>
        <w:spacing w:line="276" w:lineRule="auto"/>
        <w:ind w:left="709"/>
        <w:jc w:val="both"/>
        <w:rPr>
          <w:rFonts w:cs="Arial"/>
          <w:sz w:val="22"/>
          <w:szCs w:val="22"/>
        </w:rPr>
      </w:pPr>
      <w:r w:rsidRPr="000C5171">
        <w:rPr>
          <w:rFonts w:cs="Arial"/>
          <w:sz w:val="22"/>
          <w:szCs w:val="22"/>
        </w:rPr>
        <w:t xml:space="preserve">En el actual periodo de Gobierno, con las distintas fuentes de financiación se han terminado 1.086 proyectos aprobados antes del 7 de agosto de 2022 por un valor de $ 5,91 billones, se están ejecutando 3.676 proyectos aprobados antes del 7 de agosto de 2022 por valor de $11,72 billones y se han aprobado 7.937 nuevos proyectos por valor de $ 25,42 billones, que equivale al </w:t>
      </w:r>
      <w:r w:rsidRPr="000C5171">
        <w:rPr>
          <w:rFonts w:cs="Arial"/>
          <w:b/>
          <w:bCs/>
          <w:sz w:val="22"/>
          <w:szCs w:val="22"/>
        </w:rPr>
        <w:t>51,37%</w:t>
      </w:r>
      <w:r w:rsidRPr="000C5171">
        <w:rPr>
          <w:rFonts w:cs="Arial"/>
          <w:sz w:val="22"/>
          <w:szCs w:val="22"/>
        </w:rPr>
        <w:t xml:space="preserve"> del total acumulado desde 2017 (Todos los valores están dados a precios constantes de 2016). Esto quiere decir que faltando aún el reporte de inversiones del periodo abril-diciembre de 2026, más de la mitad de las </w:t>
      </w:r>
      <w:r w:rsidRPr="000C5171">
        <w:rPr>
          <w:rFonts w:cs="Arial"/>
          <w:sz w:val="22"/>
          <w:szCs w:val="22"/>
        </w:rPr>
        <w:lastRenderedPageBreak/>
        <w:t>inversiones que se han hecho desde 2017para la implementación de los PDET se ha realizado en lo que va corrido del periodo del actual gobierno.</w:t>
      </w:r>
    </w:p>
    <w:p w14:paraId="0AAC0402" w14:textId="77777777" w:rsidR="00DE3C06" w:rsidRPr="000C5171" w:rsidRDefault="00DE3C06" w:rsidP="00DE3C06">
      <w:pPr>
        <w:spacing w:line="276" w:lineRule="auto"/>
        <w:ind w:left="567"/>
        <w:jc w:val="center"/>
        <w:rPr>
          <w:rFonts w:cs="Tahoma"/>
          <w:b/>
          <w:bCs/>
          <w:sz w:val="22"/>
          <w:szCs w:val="22"/>
        </w:rPr>
      </w:pPr>
      <w:r w:rsidRPr="000C5171">
        <w:rPr>
          <w:rFonts w:cs="Tahoma"/>
          <w:b/>
          <w:bCs/>
          <w:sz w:val="22"/>
          <w:szCs w:val="22"/>
        </w:rPr>
        <w:t>Tabla 3. Proyectos terminados y en ejecución en el actual gobierno aprobados antes del 7 de agosto de 2022 y nuevos proyectos aprobados (corte a 31 de mayo</w:t>
      </w:r>
      <w:r w:rsidRPr="000C5171">
        <w:rPr>
          <w:rStyle w:val="Refdenotaalpie"/>
          <w:rFonts w:cs="Tahoma"/>
          <w:b/>
          <w:bCs/>
          <w:sz w:val="22"/>
          <w:szCs w:val="22"/>
        </w:rPr>
        <w:footnoteReference w:id="23"/>
      </w:r>
      <w:r w:rsidRPr="000C5171">
        <w:rPr>
          <w:rFonts w:cs="Tahoma"/>
          <w:b/>
          <w:bCs/>
          <w:sz w:val="22"/>
          <w:szCs w:val="22"/>
        </w:rPr>
        <w:t xml:space="preserve">  de 2026).</w:t>
      </w:r>
    </w:p>
    <w:tbl>
      <w:tblPr>
        <w:tblW w:w="8499" w:type="dxa"/>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973"/>
        <w:gridCol w:w="1153"/>
        <w:gridCol w:w="1412"/>
        <w:gridCol w:w="992"/>
        <w:gridCol w:w="1559"/>
        <w:gridCol w:w="993"/>
        <w:gridCol w:w="1417"/>
      </w:tblGrid>
      <w:tr w:rsidR="00DE3C06" w:rsidRPr="000C5171" w14:paraId="57860D2F" w14:textId="77777777" w:rsidTr="008A49D0">
        <w:trPr>
          <w:trHeight w:val="844"/>
        </w:trPr>
        <w:tc>
          <w:tcPr>
            <w:tcW w:w="973" w:type="dxa"/>
            <w:vMerge w:val="restart"/>
            <w:tcBorders>
              <w:top w:val="single" w:sz="4" w:space="0" w:color="auto"/>
              <w:left w:val="single" w:sz="4" w:space="0" w:color="auto"/>
              <w:bottom w:val="single" w:sz="4" w:space="0" w:color="auto"/>
              <w:right w:val="single" w:sz="4" w:space="0" w:color="auto"/>
            </w:tcBorders>
            <w:shd w:val="clear" w:color="auto" w:fill="C1F0C7" w:themeFill="accent3" w:themeFillTint="33"/>
            <w:hideMark/>
          </w:tcPr>
          <w:p w14:paraId="0422787A" w14:textId="77777777" w:rsidR="00DE3C06" w:rsidRPr="000C5171" w:rsidRDefault="00DE3C06" w:rsidP="008A49D0">
            <w:pPr>
              <w:spacing w:after="0" w:line="276" w:lineRule="auto"/>
              <w:jc w:val="center"/>
              <w:rPr>
                <w:rFonts w:eastAsia="Nunito" w:cs="Arial"/>
                <w:b/>
                <w:bCs/>
                <w:sz w:val="18"/>
                <w:szCs w:val="18"/>
              </w:rPr>
            </w:pPr>
            <w:r w:rsidRPr="000C5171">
              <w:rPr>
                <w:rFonts w:eastAsia="Nunito" w:cs="Arial"/>
                <w:b/>
                <w:bCs/>
                <w:sz w:val="18"/>
                <w:szCs w:val="18"/>
              </w:rPr>
              <w:t>Fuente</w:t>
            </w:r>
          </w:p>
        </w:tc>
        <w:tc>
          <w:tcPr>
            <w:tcW w:w="2565" w:type="dxa"/>
            <w:gridSpan w:val="2"/>
            <w:tcBorders>
              <w:top w:val="single" w:sz="4" w:space="0" w:color="auto"/>
              <w:left w:val="single" w:sz="4" w:space="0" w:color="auto"/>
              <w:bottom w:val="single" w:sz="4" w:space="0" w:color="auto"/>
              <w:right w:val="single" w:sz="4" w:space="0" w:color="auto"/>
            </w:tcBorders>
            <w:shd w:val="clear" w:color="auto" w:fill="C1F0C7" w:themeFill="accent3" w:themeFillTint="33"/>
            <w:hideMark/>
          </w:tcPr>
          <w:p w14:paraId="39749931" w14:textId="77777777" w:rsidR="00DE3C06" w:rsidRPr="000C5171" w:rsidRDefault="00DE3C06" w:rsidP="008A49D0">
            <w:pPr>
              <w:spacing w:after="0" w:line="276" w:lineRule="auto"/>
              <w:jc w:val="center"/>
              <w:rPr>
                <w:rFonts w:eastAsia="Nunito" w:cs="Arial"/>
                <w:b/>
                <w:bCs/>
                <w:sz w:val="18"/>
                <w:szCs w:val="18"/>
              </w:rPr>
            </w:pPr>
            <w:r w:rsidRPr="000C5171">
              <w:rPr>
                <w:rFonts w:eastAsia="Nunito" w:cs="Arial"/>
                <w:b/>
                <w:bCs/>
                <w:sz w:val="18"/>
                <w:szCs w:val="18"/>
              </w:rPr>
              <w:t>Proyectos terminados en el actual gobierno aprobados antes del 7 de agosto de 2022</w:t>
            </w:r>
          </w:p>
        </w:tc>
        <w:tc>
          <w:tcPr>
            <w:tcW w:w="2551" w:type="dxa"/>
            <w:gridSpan w:val="2"/>
            <w:tcBorders>
              <w:top w:val="single" w:sz="4" w:space="0" w:color="auto"/>
              <w:left w:val="single" w:sz="4" w:space="0" w:color="auto"/>
              <w:bottom w:val="single" w:sz="4" w:space="0" w:color="auto"/>
              <w:right w:val="single" w:sz="4" w:space="0" w:color="auto"/>
            </w:tcBorders>
            <w:shd w:val="clear" w:color="auto" w:fill="C1F0C7" w:themeFill="accent3" w:themeFillTint="33"/>
            <w:hideMark/>
          </w:tcPr>
          <w:p w14:paraId="4925C178" w14:textId="77777777" w:rsidR="00DE3C06" w:rsidRPr="000C5171" w:rsidRDefault="00DE3C06" w:rsidP="008A49D0">
            <w:pPr>
              <w:spacing w:after="0" w:line="276" w:lineRule="auto"/>
              <w:jc w:val="center"/>
              <w:rPr>
                <w:rFonts w:eastAsia="Nunito" w:cs="Arial"/>
                <w:b/>
                <w:bCs/>
                <w:sz w:val="18"/>
                <w:szCs w:val="18"/>
              </w:rPr>
            </w:pPr>
            <w:r w:rsidRPr="000C5171">
              <w:rPr>
                <w:rFonts w:eastAsia="Nunito" w:cs="Arial"/>
                <w:b/>
                <w:bCs/>
                <w:sz w:val="18"/>
                <w:szCs w:val="18"/>
              </w:rPr>
              <w:t>En ejecución aprobados antes del 7 de agosto</w:t>
            </w:r>
          </w:p>
        </w:tc>
        <w:tc>
          <w:tcPr>
            <w:tcW w:w="2410" w:type="dxa"/>
            <w:gridSpan w:val="2"/>
            <w:tcBorders>
              <w:top w:val="single" w:sz="4" w:space="0" w:color="auto"/>
              <w:left w:val="single" w:sz="4" w:space="0" w:color="auto"/>
              <w:bottom w:val="single" w:sz="4" w:space="0" w:color="auto"/>
              <w:right w:val="single" w:sz="4" w:space="0" w:color="auto"/>
            </w:tcBorders>
            <w:shd w:val="clear" w:color="auto" w:fill="C1F0C7" w:themeFill="accent3" w:themeFillTint="33"/>
            <w:hideMark/>
          </w:tcPr>
          <w:p w14:paraId="487BFC2C" w14:textId="77777777" w:rsidR="00DE3C06" w:rsidRPr="000C5171" w:rsidRDefault="00DE3C06" w:rsidP="008A49D0">
            <w:pPr>
              <w:spacing w:after="0" w:line="276" w:lineRule="auto"/>
              <w:jc w:val="center"/>
              <w:rPr>
                <w:rFonts w:eastAsia="Nunito" w:cs="Arial"/>
                <w:b/>
                <w:bCs/>
                <w:sz w:val="18"/>
                <w:szCs w:val="18"/>
              </w:rPr>
            </w:pPr>
            <w:r w:rsidRPr="000C5171">
              <w:rPr>
                <w:rFonts w:eastAsia="Nunito" w:cs="Arial"/>
                <w:b/>
                <w:bCs/>
                <w:sz w:val="18"/>
                <w:szCs w:val="18"/>
              </w:rPr>
              <w:t>Nuevos Proyectos Aprobados</w:t>
            </w:r>
          </w:p>
        </w:tc>
      </w:tr>
      <w:tr w:rsidR="00DE3C06" w:rsidRPr="000C5171" w14:paraId="553872AD" w14:textId="77777777" w:rsidTr="008A49D0">
        <w:trPr>
          <w:trHeight w:val="373"/>
        </w:trPr>
        <w:tc>
          <w:tcPr>
            <w:tcW w:w="973" w:type="dxa"/>
            <w:vMerge/>
            <w:vAlign w:val="center"/>
            <w:hideMark/>
          </w:tcPr>
          <w:p w14:paraId="4CB49ED0" w14:textId="77777777" w:rsidR="00DE3C06" w:rsidRPr="000C5171" w:rsidRDefault="00DE3C06" w:rsidP="008A49D0">
            <w:pPr>
              <w:spacing w:after="0"/>
              <w:rPr>
                <w:rFonts w:eastAsia="Nunito" w:cs="Arial"/>
                <w:b/>
                <w:bCs/>
                <w:sz w:val="18"/>
                <w:szCs w:val="18"/>
              </w:rPr>
            </w:pPr>
          </w:p>
        </w:tc>
        <w:tc>
          <w:tcPr>
            <w:tcW w:w="1153" w:type="dxa"/>
            <w:tcBorders>
              <w:top w:val="single" w:sz="4" w:space="0" w:color="auto"/>
              <w:left w:val="single" w:sz="4" w:space="0" w:color="auto"/>
              <w:bottom w:val="single" w:sz="4" w:space="0" w:color="auto"/>
              <w:right w:val="single" w:sz="4" w:space="0" w:color="auto"/>
            </w:tcBorders>
            <w:shd w:val="clear" w:color="auto" w:fill="C1F0C7" w:themeFill="accent3" w:themeFillTint="33"/>
            <w:hideMark/>
          </w:tcPr>
          <w:p w14:paraId="483D6A21" w14:textId="77777777" w:rsidR="00DE3C06" w:rsidRPr="000C5171" w:rsidRDefault="00DE3C06" w:rsidP="008A49D0">
            <w:pPr>
              <w:spacing w:after="0" w:line="276" w:lineRule="auto"/>
              <w:jc w:val="center"/>
              <w:rPr>
                <w:rFonts w:eastAsia="Nunito" w:cs="Arial"/>
                <w:sz w:val="18"/>
                <w:szCs w:val="18"/>
              </w:rPr>
            </w:pPr>
            <w:r w:rsidRPr="000C5171">
              <w:rPr>
                <w:rFonts w:eastAsia="Nunito" w:cs="Arial"/>
                <w:sz w:val="18"/>
                <w:szCs w:val="18"/>
              </w:rPr>
              <w:t>Proyectos</w:t>
            </w:r>
          </w:p>
        </w:tc>
        <w:tc>
          <w:tcPr>
            <w:tcW w:w="1412" w:type="dxa"/>
            <w:tcBorders>
              <w:top w:val="single" w:sz="4" w:space="0" w:color="auto"/>
              <w:left w:val="single" w:sz="4" w:space="0" w:color="auto"/>
              <w:bottom w:val="single" w:sz="4" w:space="0" w:color="auto"/>
              <w:right w:val="single" w:sz="4" w:space="0" w:color="auto"/>
            </w:tcBorders>
            <w:shd w:val="clear" w:color="auto" w:fill="C1F0C7" w:themeFill="accent3" w:themeFillTint="33"/>
            <w:hideMark/>
          </w:tcPr>
          <w:p w14:paraId="771D4249" w14:textId="77777777" w:rsidR="00DE3C06" w:rsidRPr="000C5171" w:rsidRDefault="00DE3C06" w:rsidP="008A49D0">
            <w:pPr>
              <w:spacing w:after="0" w:line="276" w:lineRule="auto"/>
              <w:jc w:val="center"/>
              <w:rPr>
                <w:rFonts w:eastAsia="Nunito" w:cs="Arial"/>
                <w:sz w:val="18"/>
                <w:szCs w:val="18"/>
              </w:rPr>
            </w:pPr>
            <w:r w:rsidRPr="000C5171">
              <w:rPr>
                <w:rFonts w:eastAsia="Nunito" w:cs="Arial"/>
                <w:sz w:val="18"/>
                <w:szCs w:val="18"/>
              </w:rPr>
              <w:t>Inversión</w:t>
            </w:r>
          </w:p>
        </w:tc>
        <w:tc>
          <w:tcPr>
            <w:tcW w:w="992" w:type="dxa"/>
            <w:tcBorders>
              <w:top w:val="single" w:sz="4" w:space="0" w:color="auto"/>
              <w:left w:val="single" w:sz="4" w:space="0" w:color="auto"/>
              <w:bottom w:val="single" w:sz="4" w:space="0" w:color="auto"/>
              <w:right w:val="single" w:sz="4" w:space="0" w:color="auto"/>
            </w:tcBorders>
            <w:shd w:val="clear" w:color="auto" w:fill="C1F0C7" w:themeFill="accent3" w:themeFillTint="33"/>
            <w:hideMark/>
          </w:tcPr>
          <w:p w14:paraId="3884E39B" w14:textId="77777777" w:rsidR="00DE3C06" w:rsidRPr="000C5171" w:rsidRDefault="00DE3C06" w:rsidP="008A49D0">
            <w:pPr>
              <w:spacing w:after="0" w:line="276" w:lineRule="auto"/>
              <w:jc w:val="center"/>
              <w:rPr>
                <w:rFonts w:eastAsia="Nunito" w:cs="Arial"/>
                <w:sz w:val="18"/>
                <w:szCs w:val="18"/>
              </w:rPr>
            </w:pPr>
            <w:r w:rsidRPr="000C5171">
              <w:rPr>
                <w:rFonts w:eastAsia="Nunito" w:cs="Arial"/>
                <w:sz w:val="18"/>
                <w:szCs w:val="18"/>
              </w:rPr>
              <w:t>Proyectos</w:t>
            </w:r>
          </w:p>
        </w:tc>
        <w:tc>
          <w:tcPr>
            <w:tcW w:w="1559" w:type="dxa"/>
            <w:tcBorders>
              <w:top w:val="single" w:sz="4" w:space="0" w:color="auto"/>
              <w:left w:val="single" w:sz="4" w:space="0" w:color="auto"/>
              <w:bottom w:val="single" w:sz="4" w:space="0" w:color="auto"/>
              <w:right w:val="single" w:sz="4" w:space="0" w:color="auto"/>
            </w:tcBorders>
            <w:shd w:val="clear" w:color="auto" w:fill="C1F0C7" w:themeFill="accent3" w:themeFillTint="33"/>
            <w:hideMark/>
          </w:tcPr>
          <w:p w14:paraId="5D1C792A" w14:textId="77777777" w:rsidR="00DE3C06" w:rsidRPr="000C5171" w:rsidRDefault="00DE3C06" w:rsidP="008A49D0">
            <w:pPr>
              <w:spacing w:after="0" w:line="276" w:lineRule="auto"/>
              <w:jc w:val="center"/>
              <w:rPr>
                <w:rFonts w:eastAsia="Nunito" w:cs="Arial"/>
                <w:sz w:val="18"/>
                <w:szCs w:val="18"/>
              </w:rPr>
            </w:pPr>
            <w:r w:rsidRPr="000C5171">
              <w:rPr>
                <w:rFonts w:eastAsia="Nunito" w:cs="Arial"/>
                <w:sz w:val="18"/>
                <w:szCs w:val="18"/>
              </w:rPr>
              <w:t>Inversión</w:t>
            </w:r>
          </w:p>
        </w:tc>
        <w:tc>
          <w:tcPr>
            <w:tcW w:w="993" w:type="dxa"/>
            <w:tcBorders>
              <w:top w:val="single" w:sz="4" w:space="0" w:color="auto"/>
              <w:left w:val="single" w:sz="4" w:space="0" w:color="auto"/>
              <w:bottom w:val="single" w:sz="4" w:space="0" w:color="auto"/>
              <w:right w:val="single" w:sz="4" w:space="0" w:color="auto"/>
            </w:tcBorders>
            <w:shd w:val="clear" w:color="auto" w:fill="C1F0C7" w:themeFill="accent3" w:themeFillTint="33"/>
            <w:hideMark/>
          </w:tcPr>
          <w:p w14:paraId="28612184" w14:textId="77777777" w:rsidR="00DE3C06" w:rsidRPr="000C5171" w:rsidRDefault="00DE3C06" w:rsidP="008A49D0">
            <w:pPr>
              <w:spacing w:after="0" w:line="276" w:lineRule="auto"/>
              <w:jc w:val="center"/>
              <w:rPr>
                <w:rFonts w:eastAsia="Nunito" w:cs="Arial"/>
                <w:sz w:val="18"/>
                <w:szCs w:val="18"/>
              </w:rPr>
            </w:pPr>
            <w:r w:rsidRPr="000C5171">
              <w:rPr>
                <w:rFonts w:eastAsia="Nunito" w:cs="Arial"/>
                <w:sz w:val="18"/>
                <w:szCs w:val="18"/>
              </w:rPr>
              <w:t>Proyectos</w:t>
            </w:r>
          </w:p>
        </w:tc>
        <w:tc>
          <w:tcPr>
            <w:tcW w:w="1417" w:type="dxa"/>
            <w:tcBorders>
              <w:top w:val="single" w:sz="4" w:space="0" w:color="auto"/>
              <w:left w:val="single" w:sz="4" w:space="0" w:color="auto"/>
              <w:bottom w:val="single" w:sz="4" w:space="0" w:color="auto"/>
              <w:right w:val="single" w:sz="4" w:space="0" w:color="auto"/>
            </w:tcBorders>
            <w:shd w:val="clear" w:color="auto" w:fill="C1F0C7" w:themeFill="accent3" w:themeFillTint="33"/>
            <w:hideMark/>
          </w:tcPr>
          <w:p w14:paraId="314F95F4" w14:textId="77777777" w:rsidR="00DE3C06" w:rsidRPr="000C5171" w:rsidRDefault="00DE3C06" w:rsidP="008A49D0">
            <w:pPr>
              <w:spacing w:after="0" w:line="276" w:lineRule="auto"/>
              <w:jc w:val="center"/>
              <w:rPr>
                <w:rFonts w:eastAsia="Nunito" w:cs="Arial"/>
                <w:sz w:val="18"/>
                <w:szCs w:val="18"/>
              </w:rPr>
            </w:pPr>
            <w:r w:rsidRPr="000C5171">
              <w:rPr>
                <w:rFonts w:eastAsia="Nunito" w:cs="Arial"/>
                <w:sz w:val="18"/>
                <w:szCs w:val="18"/>
              </w:rPr>
              <w:t>Inversión</w:t>
            </w:r>
          </w:p>
        </w:tc>
      </w:tr>
      <w:tr w:rsidR="00DE3C06" w:rsidRPr="000C5171" w14:paraId="2FBCAB83" w14:textId="77777777" w:rsidTr="008A49D0">
        <w:trPr>
          <w:trHeight w:val="400"/>
        </w:trPr>
        <w:tc>
          <w:tcPr>
            <w:tcW w:w="973" w:type="dxa"/>
            <w:tcBorders>
              <w:top w:val="single" w:sz="4" w:space="0" w:color="auto"/>
              <w:left w:val="single" w:sz="4" w:space="0" w:color="auto"/>
              <w:bottom w:val="single" w:sz="4" w:space="0" w:color="auto"/>
              <w:right w:val="single" w:sz="4" w:space="0" w:color="auto"/>
            </w:tcBorders>
            <w:hideMark/>
          </w:tcPr>
          <w:p w14:paraId="71944A29" w14:textId="77777777" w:rsidR="00DE3C06" w:rsidRPr="000C5171" w:rsidRDefault="00DE3C06" w:rsidP="008A49D0">
            <w:pPr>
              <w:spacing w:after="0" w:line="276" w:lineRule="auto"/>
              <w:jc w:val="both"/>
              <w:rPr>
                <w:rFonts w:eastAsia="Nunito" w:cs="Arial"/>
                <w:sz w:val="18"/>
                <w:szCs w:val="18"/>
              </w:rPr>
            </w:pPr>
            <w:r w:rsidRPr="000C5171">
              <w:rPr>
                <w:rFonts w:eastAsia="Nunito" w:cs="Arial"/>
                <w:sz w:val="18"/>
                <w:szCs w:val="18"/>
              </w:rPr>
              <w:t>Total</w:t>
            </w:r>
          </w:p>
        </w:tc>
        <w:tc>
          <w:tcPr>
            <w:tcW w:w="1153" w:type="dxa"/>
            <w:tcBorders>
              <w:top w:val="single" w:sz="4" w:space="0" w:color="auto"/>
              <w:left w:val="single" w:sz="4" w:space="0" w:color="auto"/>
              <w:bottom w:val="single" w:sz="4" w:space="0" w:color="auto"/>
              <w:right w:val="single" w:sz="4" w:space="0" w:color="auto"/>
            </w:tcBorders>
            <w:hideMark/>
          </w:tcPr>
          <w:p w14:paraId="60EDF5A3" w14:textId="77777777" w:rsidR="00DE3C06" w:rsidRPr="000C5171" w:rsidRDefault="00DE3C06" w:rsidP="008A49D0">
            <w:pPr>
              <w:spacing w:after="0" w:line="276" w:lineRule="auto"/>
              <w:jc w:val="center"/>
              <w:rPr>
                <w:rFonts w:eastAsia="Nunito" w:cs="Arial"/>
                <w:sz w:val="18"/>
                <w:szCs w:val="18"/>
              </w:rPr>
            </w:pPr>
            <w:r w:rsidRPr="000C5171">
              <w:rPr>
                <w:rFonts w:eastAsia="Nunito" w:cs="Arial"/>
                <w:sz w:val="18"/>
                <w:szCs w:val="18"/>
              </w:rPr>
              <w:t>1086</w:t>
            </w:r>
          </w:p>
        </w:tc>
        <w:tc>
          <w:tcPr>
            <w:tcW w:w="1412" w:type="dxa"/>
            <w:tcBorders>
              <w:top w:val="single" w:sz="4" w:space="0" w:color="auto"/>
              <w:left w:val="single" w:sz="4" w:space="0" w:color="auto"/>
              <w:bottom w:val="single" w:sz="4" w:space="0" w:color="auto"/>
              <w:right w:val="single" w:sz="4" w:space="0" w:color="auto"/>
            </w:tcBorders>
            <w:hideMark/>
          </w:tcPr>
          <w:p w14:paraId="23F55A0A" w14:textId="77777777" w:rsidR="00DE3C06" w:rsidRPr="000C5171" w:rsidRDefault="00DE3C06" w:rsidP="008A49D0">
            <w:pPr>
              <w:spacing w:after="0" w:line="276" w:lineRule="auto"/>
              <w:jc w:val="center"/>
              <w:rPr>
                <w:rFonts w:eastAsia="Nunito" w:cs="Arial"/>
                <w:sz w:val="18"/>
                <w:szCs w:val="18"/>
              </w:rPr>
            </w:pPr>
            <w:r w:rsidRPr="000C5171">
              <w:rPr>
                <w:rFonts w:eastAsia="Nunito" w:cs="Arial"/>
                <w:sz w:val="18"/>
                <w:szCs w:val="18"/>
              </w:rPr>
              <w:t>$ 5.906.978</w:t>
            </w:r>
          </w:p>
        </w:tc>
        <w:tc>
          <w:tcPr>
            <w:tcW w:w="992" w:type="dxa"/>
            <w:tcBorders>
              <w:top w:val="single" w:sz="4" w:space="0" w:color="auto"/>
              <w:left w:val="single" w:sz="4" w:space="0" w:color="auto"/>
              <w:bottom w:val="single" w:sz="4" w:space="0" w:color="auto"/>
              <w:right w:val="single" w:sz="4" w:space="0" w:color="auto"/>
            </w:tcBorders>
            <w:hideMark/>
          </w:tcPr>
          <w:p w14:paraId="168BF3B9" w14:textId="77777777" w:rsidR="00DE3C06" w:rsidRPr="000C5171" w:rsidRDefault="00DE3C06" w:rsidP="008A49D0">
            <w:pPr>
              <w:spacing w:after="0" w:line="276" w:lineRule="auto"/>
              <w:jc w:val="both"/>
              <w:rPr>
                <w:rFonts w:eastAsia="Nunito" w:cs="Arial"/>
                <w:sz w:val="18"/>
                <w:szCs w:val="18"/>
              </w:rPr>
            </w:pPr>
            <w:r w:rsidRPr="000C5171">
              <w:rPr>
                <w:rFonts w:eastAsia="Nunito" w:cs="Arial"/>
                <w:sz w:val="18"/>
                <w:szCs w:val="18"/>
              </w:rPr>
              <w:t>3676</w:t>
            </w:r>
          </w:p>
        </w:tc>
        <w:tc>
          <w:tcPr>
            <w:tcW w:w="1559" w:type="dxa"/>
            <w:tcBorders>
              <w:top w:val="single" w:sz="4" w:space="0" w:color="auto"/>
              <w:left w:val="single" w:sz="4" w:space="0" w:color="auto"/>
              <w:bottom w:val="single" w:sz="4" w:space="0" w:color="auto"/>
              <w:right w:val="single" w:sz="4" w:space="0" w:color="auto"/>
            </w:tcBorders>
            <w:hideMark/>
          </w:tcPr>
          <w:p w14:paraId="1211BBA1" w14:textId="77777777" w:rsidR="00DE3C06" w:rsidRPr="000C5171" w:rsidRDefault="00DE3C06" w:rsidP="008A49D0">
            <w:pPr>
              <w:spacing w:after="0" w:line="276" w:lineRule="auto"/>
              <w:jc w:val="both"/>
              <w:rPr>
                <w:rFonts w:eastAsia="Nunito" w:cs="Arial"/>
                <w:sz w:val="18"/>
                <w:szCs w:val="18"/>
              </w:rPr>
            </w:pPr>
            <w:r w:rsidRPr="000C5171">
              <w:rPr>
                <w:rFonts w:eastAsia="Nunito" w:cs="Arial"/>
                <w:sz w:val="18"/>
                <w:szCs w:val="18"/>
              </w:rPr>
              <w:t>$ 11.717.870</w:t>
            </w:r>
          </w:p>
        </w:tc>
        <w:tc>
          <w:tcPr>
            <w:tcW w:w="993" w:type="dxa"/>
            <w:tcBorders>
              <w:top w:val="single" w:sz="4" w:space="0" w:color="auto"/>
              <w:left w:val="single" w:sz="4" w:space="0" w:color="auto"/>
              <w:bottom w:val="single" w:sz="4" w:space="0" w:color="auto"/>
              <w:right w:val="single" w:sz="4" w:space="0" w:color="auto"/>
            </w:tcBorders>
            <w:hideMark/>
          </w:tcPr>
          <w:p w14:paraId="4D57C489" w14:textId="77777777" w:rsidR="00DE3C06" w:rsidRPr="000C5171" w:rsidRDefault="00DE3C06" w:rsidP="008A49D0">
            <w:pPr>
              <w:spacing w:after="0" w:line="276" w:lineRule="auto"/>
              <w:jc w:val="both"/>
              <w:rPr>
                <w:rFonts w:eastAsia="Nunito" w:cs="Arial"/>
                <w:sz w:val="18"/>
                <w:szCs w:val="18"/>
              </w:rPr>
            </w:pPr>
            <w:r w:rsidRPr="000C5171">
              <w:rPr>
                <w:rFonts w:eastAsia="Nunito" w:cs="Arial"/>
                <w:sz w:val="18"/>
                <w:szCs w:val="18"/>
              </w:rPr>
              <w:t>7937</w:t>
            </w:r>
          </w:p>
        </w:tc>
        <w:tc>
          <w:tcPr>
            <w:tcW w:w="1417" w:type="dxa"/>
            <w:tcBorders>
              <w:top w:val="single" w:sz="4" w:space="0" w:color="auto"/>
              <w:left w:val="single" w:sz="4" w:space="0" w:color="auto"/>
              <w:bottom w:val="single" w:sz="4" w:space="0" w:color="auto"/>
              <w:right w:val="single" w:sz="4" w:space="0" w:color="auto"/>
            </w:tcBorders>
            <w:hideMark/>
          </w:tcPr>
          <w:p w14:paraId="3B1BACB0" w14:textId="77777777" w:rsidR="00DE3C06" w:rsidRPr="000C5171" w:rsidRDefault="00DE3C06" w:rsidP="008A49D0">
            <w:pPr>
              <w:spacing w:after="0" w:line="276" w:lineRule="auto"/>
              <w:jc w:val="both"/>
              <w:rPr>
                <w:rFonts w:eastAsia="Nunito" w:cs="Arial"/>
                <w:sz w:val="18"/>
                <w:szCs w:val="18"/>
              </w:rPr>
            </w:pPr>
            <w:r w:rsidRPr="000C5171">
              <w:rPr>
                <w:rFonts w:eastAsia="Nunito" w:cs="Arial"/>
                <w:sz w:val="18"/>
                <w:szCs w:val="18"/>
              </w:rPr>
              <w:t>$ 25.419.537</w:t>
            </w:r>
          </w:p>
        </w:tc>
      </w:tr>
    </w:tbl>
    <w:p w14:paraId="740C96AE" w14:textId="77777777" w:rsidR="00DE3C06" w:rsidRPr="000C5171" w:rsidRDefault="00DE3C06" w:rsidP="00DE3C06">
      <w:pPr>
        <w:spacing w:line="276" w:lineRule="auto"/>
        <w:jc w:val="center"/>
        <w:rPr>
          <w:rFonts w:cs="Tahoma"/>
          <w:sz w:val="18"/>
          <w:szCs w:val="18"/>
        </w:rPr>
      </w:pPr>
      <w:r w:rsidRPr="000C5171">
        <w:rPr>
          <w:rFonts w:cs="Tahoma"/>
          <w:sz w:val="18"/>
          <w:szCs w:val="18"/>
        </w:rPr>
        <w:t>Cifras en millones de pesos - precios constantes de 2016.</w:t>
      </w:r>
    </w:p>
    <w:p w14:paraId="21FD861A" w14:textId="77777777" w:rsidR="00DE3C06" w:rsidRPr="000C5171" w:rsidRDefault="00DE3C06" w:rsidP="00DE3C06">
      <w:pPr>
        <w:spacing w:line="276" w:lineRule="auto"/>
        <w:ind w:left="709"/>
        <w:jc w:val="both"/>
        <w:rPr>
          <w:rFonts w:cs="Tahoma"/>
          <w:sz w:val="22"/>
          <w:szCs w:val="22"/>
        </w:rPr>
      </w:pPr>
      <w:r w:rsidRPr="000C5171">
        <w:rPr>
          <w:rFonts w:cs="Tahoma"/>
          <w:sz w:val="22"/>
          <w:szCs w:val="22"/>
        </w:rPr>
        <w:t xml:space="preserve">Se incluye </w:t>
      </w:r>
      <w:r w:rsidRPr="000C5171">
        <w:rPr>
          <w:rFonts w:eastAsia="Arial" w:cs="Tahoma"/>
          <w:sz w:val="22"/>
          <w:szCs w:val="22"/>
        </w:rPr>
        <w:t xml:space="preserve">el </w:t>
      </w:r>
      <w:r w:rsidRPr="000C5171">
        <w:rPr>
          <w:rFonts w:cs="Tahoma"/>
          <w:b/>
          <w:bCs/>
          <w:sz w:val="22"/>
          <w:szCs w:val="22"/>
        </w:rPr>
        <w:t>ANEXO 6 en</w:t>
      </w:r>
      <w:r w:rsidRPr="000C5171">
        <w:rPr>
          <w:rFonts w:cs="Tahoma"/>
          <w:sz w:val="22"/>
          <w:szCs w:val="22"/>
        </w:rPr>
        <w:t xml:space="preserve"> la cual se identifican los datos de Proyectos terminados en el actual gobierno aprobados antes del 7 de agosto de 2022</w:t>
      </w:r>
    </w:p>
    <w:p w14:paraId="160E54B6" w14:textId="77777777" w:rsidR="00DE3C06" w:rsidRPr="000C5171" w:rsidRDefault="00DE3C06" w:rsidP="00DE3C06">
      <w:pPr>
        <w:spacing w:line="276" w:lineRule="auto"/>
        <w:ind w:left="709"/>
        <w:jc w:val="both"/>
        <w:rPr>
          <w:rFonts w:cs="Tahoma"/>
          <w:sz w:val="22"/>
          <w:szCs w:val="22"/>
        </w:rPr>
      </w:pPr>
      <w:r w:rsidRPr="000C5171">
        <w:rPr>
          <w:rFonts w:cs="Tahoma"/>
          <w:sz w:val="22"/>
          <w:szCs w:val="22"/>
        </w:rPr>
        <w:t>Con relación a las fuentes de financiación, es conveniente señalar:</w:t>
      </w:r>
    </w:p>
    <w:p w14:paraId="3ED4859C" w14:textId="77777777" w:rsidR="00DE3C06" w:rsidRPr="000C5171" w:rsidRDefault="00DE3C06">
      <w:pPr>
        <w:pStyle w:val="Prrafodelista"/>
        <w:numPr>
          <w:ilvl w:val="0"/>
          <w:numId w:val="21"/>
        </w:numPr>
        <w:spacing w:line="276" w:lineRule="auto"/>
        <w:ind w:left="1134" w:hanging="426"/>
        <w:jc w:val="both"/>
        <w:rPr>
          <w:rFonts w:cs="Tahoma"/>
          <w:sz w:val="22"/>
          <w:szCs w:val="22"/>
        </w:rPr>
      </w:pPr>
      <w:r w:rsidRPr="000C5171">
        <w:rPr>
          <w:rFonts w:cs="Tahoma"/>
          <w:sz w:val="22"/>
          <w:szCs w:val="22"/>
        </w:rPr>
        <w:t xml:space="preserve">Con las fuentes del </w:t>
      </w:r>
      <w:r w:rsidRPr="000C5171">
        <w:rPr>
          <w:rFonts w:cs="Tahoma"/>
          <w:b/>
          <w:bCs/>
          <w:sz w:val="22"/>
          <w:szCs w:val="22"/>
        </w:rPr>
        <w:t>Sistema General de Regalías que aprueba el OCAD Paz</w:t>
      </w:r>
      <w:r w:rsidRPr="000C5171">
        <w:rPr>
          <w:rFonts w:cs="Tahoma"/>
          <w:sz w:val="22"/>
          <w:szCs w:val="22"/>
        </w:rPr>
        <w:t xml:space="preserve"> (Asignación para la paz, desahorro del FONPET, Asignación para la paz – infraestructura de transporte e Incentivo a la producción del 30%), que aportan el 18,34 % de la inversión total, se han financiado 1.002 proyectos por valor de 9,07 billones de pesos constantes de 2016. En particular, de estos recursos, específicamente con asignación de regalías para la paz que aporta el 16,86% de la inversión total, se han financiado 820 proyectos por valor de 8,34 billones de pesos constantes de 2016,</w:t>
      </w:r>
    </w:p>
    <w:p w14:paraId="7A16940D" w14:textId="77777777" w:rsidR="00DE3C06" w:rsidRPr="000C5171" w:rsidRDefault="00DE3C06" w:rsidP="00DE3C06">
      <w:pPr>
        <w:pStyle w:val="Prrafodelista"/>
        <w:spacing w:line="276" w:lineRule="auto"/>
        <w:ind w:left="1134"/>
        <w:jc w:val="both"/>
        <w:rPr>
          <w:rFonts w:cs="Tahoma"/>
          <w:sz w:val="22"/>
          <w:szCs w:val="22"/>
        </w:rPr>
      </w:pPr>
      <w:r w:rsidRPr="000C5171">
        <w:rPr>
          <w:rFonts w:cs="Tahoma"/>
          <w:sz w:val="22"/>
          <w:szCs w:val="22"/>
        </w:rPr>
        <w:t xml:space="preserve">Respecto a la fuente de regalías para la paz, en este Gobierno por medio del DNP y la ART, en coordinación con el OCAD Paz, en lugar de una única bolsa nacional, puso en funcionamiento 16 bolsas subregionales, una por cada Subregión PDET como medida contra la concentración de recursos que se venía presentando en la aprobación de proyectos de Asignación para la Paz. Además, se adoptó una nueva metodología para la priorización de proyectos basada en criterios de equidad territorial y cierre de brechas territoriales, propuesta presentada por parte del DNP y la ART, y ajustada, concertada y aprobada por parte del OCAD Paz, en cumplimiento a lo dispuesto en el artículo 24 de la Ley 2279 de 2022 por medio de la cual se establece el presupuesto del bienio 2023 – 2024 del SGR. Así mismo, se estableció como requisito para otorgar el certificado de concordancia desde la </w:t>
      </w:r>
      <w:r w:rsidRPr="000C5171">
        <w:rPr>
          <w:rFonts w:cs="Tahoma"/>
          <w:sz w:val="22"/>
          <w:szCs w:val="22"/>
        </w:rPr>
        <w:lastRenderedPageBreak/>
        <w:t xml:space="preserve">ART, la socialización con las comunidades, para un proyecto que se vaya a presentar en el OCAD Paz y una o varias iniciativas comunitarias. </w:t>
      </w:r>
    </w:p>
    <w:p w14:paraId="4F3AA385" w14:textId="77777777" w:rsidR="00DE3C06" w:rsidRPr="000C5171" w:rsidRDefault="00DE3C06" w:rsidP="00DE3C06">
      <w:pPr>
        <w:pStyle w:val="Prrafodelista"/>
        <w:spacing w:line="276" w:lineRule="auto"/>
        <w:ind w:left="1134"/>
        <w:jc w:val="both"/>
        <w:rPr>
          <w:rFonts w:cs="Tahoma"/>
          <w:sz w:val="22"/>
          <w:szCs w:val="22"/>
        </w:rPr>
      </w:pPr>
      <w:r w:rsidRPr="000C5171">
        <w:rPr>
          <w:rFonts w:cs="Tahoma"/>
          <w:sz w:val="22"/>
          <w:szCs w:val="22"/>
        </w:rPr>
        <w:t>En este sentido, durante el desarrollo de las convocatorias que se adelantaron para la aprobación de proyectos con Asignación para la Paz en los bienios 2023 – 2024 y 2025 – 2026, a esta Agencia se le asignaron las funciones de: </w:t>
      </w:r>
    </w:p>
    <w:p w14:paraId="179FF545" w14:textId="77777777" w:rsidR="00DE3C06" w:rsidRPr="000C5171" w:rsidRDefault="00DE3C06">
      <w:pPr>
        <w:pStyle w:val="Prrafodelista"/>
        <w:numPr>
          <w:ilvl w:val="0"/>
          <w:numId w:val="37"/>
        </w:numPr>
        <w:spacing w:line="276" w:lineRule="auto"/>
        <w:ind w:left="1418" w:hanging="284"/>
        <w:jc w:val="both"/>
        <w:rPr>
          <w:rFonts w:cs="Tahoma"/>
          <w:sz w:val="22"/>
          <w:szCs w:val="22"/>
        </w:rPr>
      </w:pPr>
      <w:r w:rsidRPr="000C5171">
        <w:rPr>
          <w:rFonts w:cs="Tahoma"/>
          <w:sz w:val="22"/>
          <w:szCs w:val="22"/>
        </w:rPr>
        <w:t xml:space="preserve">Expedir los certificados de concordancia en cumplimiento de lo dispuesto por el parágrafo 3 del artículo 16 de la Ley 2294 de 2023, que modificó el artículo 2° del Decreto Ley 413 de 2018, como medio para garantizar la participación de las comunidades en la elección de proyectos de inversión de los cuales serían beneficiarias; </w:t>
      </w:r>
    </w:p>
    <w:p w14:paraId="6E910446" w14:textId="77777777" w:rsidR="00DE3C06" w:rsidRPr="000C5171" w:rsidRDefault="00DE3C06">
      <w:pPr>
        <w:pStyle w:val="Prrafodelista"/>
        <w:numPr>
          <w:ilvl w:val="0"/>
          <w:numId w:val="37"/>
        </w:numPr>
        <w:spacing w:line="276" w:lineRule="auto"/>
        <w:ind w:left="1418" w:hanging="284"/>
        <w:jc w:val="both"/>
        <w:rPr>
          <w:rFonts w:cs="Tahoma"/>
          <w:sz w:val="22"/>
          <w:szCs w:val="22"/>
        </w:rPr>
      </w:pPr>
      <w:r w:rsidRPr="000C5171">
        <w:rPr>
          <w:rFonts w:cs="Tahoma"/>
          <w:sz w:val="22"/>
          <w:szCs w:val="22"/>
        </w:rPr>
        <w:t xml:space="preserve"> Construir, junto con el DNP, los planes de convocatorias y los términos de referencia de estas para revisión, ajuste y aprobación del OCAD Paz,</w:t>
      </w:r>
    </w:p>
    <w:p w14:paraId="4C5DD1B6" w14:textId="77777777" w:rsidR="00DE3C06" w:rsidRPr="000C5171" w:rsidRDefault="00DE3C06">
      <w:pPr>
        <w:pStyle w:val="Prrafodelista"/>
        <w:numPr>
          <w:ilvl w:val="0"/>
          <w:numId w:val="37"/>
        </w:numPr>
        <w:spacing w:line="276" w:lineRule="auto"/>
        <w:ind w:left="1418" w:hanging="284"/>
        <w:jc w:val="both"/>
        <w:rPr>
          <w:rFonts w:cs="Tahoma"/>
          <w:sz w:val="22"/>
          <w:szCs w:val="22"/>
        </w:rPr>
      </w:pPr>
      <w:r w:rsidRPr="000C5171">
        <w:rPr>
          <w:rFonts w:cs="Tahoma"/>
          <w:sz w:val="22"/>
          <w:szCs w:val="22"/>
        </w:rPr>
        <w:t>calcular, junto al DNP, el puntaje mínimo de los proyectos que se presentaron a las convocatorias asegurando la aplicación de la metodología de priorización de proyectos aprobada por el OCAD Paz</w:t>
      </w:r>
    </w:p>
    <w:p w14:paraId="46431CB1" w14:textId="77777777" w:rsidR="00DE3C06" w:rsidRPr="000C5171" w:rsidRDefault="00DE3C06">
      <w:pPr>
        <w:pStyle w:val="Prrafodelista"/>
        <w:numPr>
          <w:ilvl w:val="0"/>
          <w:numId w:val="37"/>
        </w:numPr>
        <w:spacing w:line="276" w:lineRule="auto"/>
        <w:ind w:left="1418" w:hanging="284"/>
        <w:jc w:val="both"/>
        <w:rPr>
          <w:rFonts w:cs="Tahoma"/>
          <w:sz w:val="22"/>
          <w:szCs w:val="22"/>
        </w:rPr>
      </w:pPr>
      <w:r w:rsidRPr="000C5171">
        <w:rPr>
          <w:rFonts w:cs="Tahoma"/>
          <w:sz w:val="22"/>
          <w:szCs w:val="22"/>
        </w:rPr>
        <w:t xml:space="preserve"> Adelantar, también en conjunto con el DNP, la evaluación técnica inicial, publicación de listado de elegibles y evaluación técnica integral para el ordenamiento de proyectos a presentarse para aprobación en el OCAD Paz, asegurando la aplicación de la metodología de priorización de proyectos aprobada por el OCAD Paz. Sin embargo, cabe resaltar, que el uso de dicho ordenamiento para la toma de decisiones es optativo de los miembros del OCAD Paz, en quienes está la potestad de priorizar y aprobar proyectos y ejecutores. La ART no es miembro del OCAD Paz.</w:t>
      </w:r>
    </w:p>
    <w:p w14:paraId="17B08985" w14:textId="77777777" w:rsidR="00DE3C06" w:rsidRPr="000C5171" w:rsidRDefault="00DE3C06" w:rsidP="00DE3C06">
      <w:pPr>
        <w:pStyle w:val="Prrafodelista"/>
        <w:spacing w:line="276" w:lineRule="auto"/>
        <w:ind w:left="1418"/>
        <w:jc w:val="both"/>
        <w:rPr>
          <w:rFonts w:cs="Tahoma"/>
          <w:sz w:val="22"/>
          <w:szCs w:val="22"/>
        </w:rPr>
      </w:pPr>
    </w:p>
    <w:p w14:paraId="6A987746" w14:textId="77777777" w:rsidR="00DE3C06" w:rsidRPr="000C5171" w:rsidRDefault="00DE3C06">
      <w:pPr>
        <w:pStyle w:val="Prrafodelista"/>
        <w:numPr>
          <w:ilvl w:val="0"/>
          <w:numId w:val="21"/>
        </w:numPr>
        <w:spacing w:line="276" w:lineRule="auto"/>
        <w:ind w:left="1134" w:hanging="425"/>
        <w:jc w:val="both"/>
        <w:rPr>
          <w:rFonts w:cs="Tahoma"/>
          <w:sz w:val="22"/>
          <w:szCs w:val="22"/>
        </w:rPr>
      </w:pPr>
      <w:r w:rsidRPr="000C5171">
        <w:rPr>
          <w:rFonts w:cs="Tahoma"/>
          <w:b/>
          <w:bCs/>
          <w:sz w:val="22"/>
          <w:szCs w:val="22"/>
        </w:rPr>
        <w:t>Mecanismo de Obras por Impuestos</w:t>
      </w:r>
      <w:r w:rsidRPr="000C5171">
        <w:rPr>
          <w:rFonts w:cs="Tahoma"/>
          <w:sz w:val="22"/>
          <w:szCs w:val="22"/>
        </w:rPr>
        <w:t>, permite a las empresas destinar hasta el 50% de su impuesto de renta a la ejecución de proyectos en municipios PDET, ZOMAC y departamentos que conforman la Amazonia colombiana, que cuenten con una población inferior a ochenta y cinco mil (85.000) personas, generando un impacto social y económico significativo en las comunidades más vulnerables.</w:t>
      </w:r>
    </w:p>
    <w:p w14:paraId="7624AEF7" w14:textId="77777777" w:rsidR="00DE3C06" w:rsidRPr="000C5171" w:rsidRDefault="00DE3C06" w:rsidP="00DE3C06">
      <w:pPr>
        <w:pStyle w:val="Prrafodelista"/>
        <w:spacing w:line="276" w:lineRule="auto"/>
        <w:ind w:left="1134"/>
        <w:jc w:val="both"/>
        <w:rPr>
          <w:rFonts w:cs="Tahoma"/>
          <w:sz w:val="22"/>
          <w:szCs w:val="22"/>
        </w:rPr>
      </w:pPr>
      <w:r w:rsidRPr="000C5171">
        <w:rPr>
          <w:rFonts w:cs="Tahoma"/>
          <w:sz w:val="22"/>
          <w:szCs w:val="22"/>
        </w:rPr>
        <w:t>Esta fuente aporta el 4,4 % de la inversión total y ha financiado 334 proyectos por valor de 2,17 billones de pesos constantes de 2016. El cupo que aprueba el CONFIS y gestiona la ART para este mecanismo pasó de $250 mil millones en 2018 a $1,14 billones en 2026.</w:t>
      </w:r>
    </w:p>
    <w:p w14:paraId="78592134" w14:textId="77777777" w:rsidR="00DE3C06" w:rsidRPr="000C5171" w:rsidRDefault="00DE3C06">
      <w:pPr>
        <w:pStyle w:val="Prrafodelista"/>
        <w:numPr>
          <w:ilvl w:val="0"/>
          <w:numId w:val="21"/>
        </w:numPr>
        <w:spacing w:line="276" w:lineRule="auto"/>
        <w:ind w:left="1134" w:hanging="425"/>
        <w:jc w:val="both"/>
        <w:rPr>
          <w:rFonts w:cs="Tahoma"/>
          <w:sz w:val="22"/>
          <w:szCs w:val="22"/>
        </w:rPr>
      </w:pPr>
      <w:r w:rsidRPr="000C5171">
        <w:rPr>
          <w:rFonts w:cs="Tahoma"/>
          <w:sz w:val="22"/>
          <w:szCs w:val="22"/>
        </w:rPr>
        <w:t xml:space="preserve">En cuanto </w:t>
      </w:r>
      <w:r w:rsidRPr="000C5171">
        <w:rPr>
          <w:rFonts w:cs="Tahoma"/>
          <w:b/>
          <w:bCs/>
          <w:sz w:val="22"/>
          <w:szCs w:val="22"/>
        </w:rPr>
        <w:t>al Presupuesto General de la Nación (PGN),</w:t>
      </w:r>
      <w:r w:rsidRPr="000C5171">
        <w:rPr>
          <w:rFonts w:cs="Tahoma"/>
          <w:sz w:val="22"/>
          <w:szCs w:val="22"/>
        </w:rPr>
        <w:t xml:space="preserve"> que aporta el 23,61 % de la inversión total y ha financiado 186 proyectos por valor de 11,68 billones de pesos constantes de 2016, según lo marcado como trazador de construcción de paz por las entidades nacionales, además de los 2.777 proyectos por valor de 1,89 billones </w:t>
      </w:r>
      <w:r w:rsidRPr="000C5171">
        <w:rPr>
          <w:rFonts w:cs="Tahoma"/>
          <w:sz w:val="22"/>
          <w:szCs w:val="22"/>
        </w:rPr>
        <w:lastRenderedPageBreak/>
        <w:t>de pesos constantes de 2016 financiados con los recursos de la ART</w:t>
      </w:r>
      <w:r w:rsidRPr="000C5171">
        <w:rPr>
          <w:rStyle w:val="Refdenotaalpie"/>
          <w:rFonts w:cs="Tahoma"/>
          <w:sz w:val="22"/>
          <w:szCs w:val="22"/>
        </w:rPr>
        <w:footnoteReference w:id="24"/>
      </w:r>
      <w:r w:rsidRPr="000C5171">
        <w:rPr>
          <w:rFonts w:cs="Tahoma"/>
          <w:sz w:val="22"/>
          <w:szCs w:val="22"/>
        </w:rPr>
        <w:t>, el actual gobierno es el de mayor inversión en territorios PDET, alcanzando un promedio de 3,9 % en los años 2023 a 2025, cuando el promedio en los años 2019 a 2022 fue de 2,8 %.</w:t>
      </w:r>
    </w:p>
    <w:p w14:paraId="0E5BC240" w14:textId="77777777" w:rsidR="00DE3C06" w:rsidRPr="000C5171" w:rsidRDefault="00DE3C06">
      <w:pPr>
        <w:pStyle w:val="Prrafodelista"/>
        <w:numPr>
          <w:ilvl w:val="0"/>
          <w:numId w:val="21"/>
        </w:numPr>
        <w:spacing w:line="276" w:lineRule="auto"/>
        <w:ind w:left="1134" w:hanging="141"/>
        <w:jc w:val="both"/>
        <w:rPr>
          <w:rFonts w:eastAsia="Aptos" w:cs="Tahoma"/>
          <w:sz w:val="22"/>
          <w:szCs w:val="22"/>
        </w:rPr>
      </w:pPr>
      <w:r w:rsidRPr="000C5171">
        <w:rPr>
          <w:rFonts w:eastAsiaTheme="minorEastAsia" w:cs="Tahoma"/>
          <w:sz w:val="22"/>
          <w:szCs w:val="22"/>
        </w:rPr>
        <w:t xml:space="preserve">Con relación a la fuente </w:t>
      </w:r>
      <w:r w:rsidRPr="000C5171">
        <w:rPr>
          <w:rFonts w:eastAsiaTheme="minorEastAsia" w:cs="Tahoma"/>
          <w:b/>
          <w:bCs/>
          <w:sz w:val="22"/>
          <w:szCs w:val="22"/>
        </w:rPr>
        <w:t>de Cooperación,</w:t>
      </w:r>
      <w:r w:rsidRPr="000C5171">
        <w:rPr>
          <w:rFonts w:eastAsiaTheme="minorEastAsia" w:cs="Tahoma"/>
          <w:sz w:val="22"/>
          <w:szCs w:val="22"/>
        </w:rPr>
        <w:t xml:space="preserve"> </w:t>
      </w:r>
      <w:r w:rsidRPr="000C5171">
        <w:rPr>
          <w:rFonts w:cs="Tahoma"/>
          <w:sz w:val="22"/>
          <w:szCs w:val="22"/>
        </w:rPr>
        <w:t xml:space="preserve">que aporta el 2,28 % de la inversión total y ha financiado </w:t>
      </w:r>
      <w:r w:rsidRPr="000C5171">
        <w:rPr>
          <w:rFonts w:eastAsiaTheme="minorEastAsia" w:cs="Tahoma"/>
          <w:sz w:val="22"/>
          <w:szCs w:val="22"/>
        </w:rPr>
        <w:t xml:space="preserve">alrededor de 1.043 proyectos por valor de 1,12 billones de pesos constantes 2016, incluyendo la cooperación internacional y el aporte de privados, hay que anotar que se vio seriamente afectada por el cierre de la Agencia Internacional para el Desarrollo de los Estados Unidos (USAID) desde la mitad de enero de 2025. Sin embargo, en este periodo la ART, en coordinación con la Agencia Presidencial de Cooperación Internacional (APC), logró suscribir convenios, documentos de proyectos y dotaciones con: el Banco de Desarrollo Alemán (KFW), la Agencia de Cooperación Coreana (KOICA), la Agencia Española de Cooperación Internacional para el Desarrollo (AECID), la Agencia Turca de Cooperación y Coordinación (TIKA), el Programa de las Naciones Unidas para el Desarrollo (PNUD) y el Fondo </w:t>
      </w:r>
      <w:proofErr w:type="spellStart"/>
      <w:r w:rsidRPr="000C5171">
        <w:rPr>
          <w:rFonts w:eastAsiaTheme="minorEastAsia" w:cs="Tahoma"/>
          <w:sz w:val="22"/>
          <w:szCs w:val="22"/>
        </w:rPr>
        <w:t>Multidonante</w:t>
      </w:r>
      <w:proofErr w:type="spellEnd"/>
      <w:r w:rsidRPr="000C5171">
        <w:rPr>
          <w:rFonts w:eastAsiaTheme="minorEastAsia" w:cs="Tahoma"/>
          <w:sz w:val="22"/>
          <w:szCs w:val="22"/>
        </w:rPr>
        <w:t xml:space="preserve"> para la Paz (MPTF), por un valor aproximado de COP $132.915.802.245,52</w:t>
      </w:r>
      <w:r w:rsidRPr="000C5171">
        <w:rPr>
          <w:rStyle w:val="Refdenotaalpie"/>
          <w:rFonts w:eastAsiaTheme="minorEastAsia" w:cs="Tahoma"/>
          <w:sz w:val="22"/>
          <w:szCs w:val="22"/>
        </w:rPr>
        <w:footnoteReference w:id="25"/>
      </w:r>
      <w:r w:rsidRPr="000C5171">
        <w:rPr>
          <w:rFonts w:eastAsia="Aptos" w:cs="Tahoma"/>
          <w:sz w:val="22"/>
          <w:szCs w:val="22"/>
        </w:rPr>
        <w:t>.</w:t>
      </w:r>
    </w:p>
    <w:p w14:paraId="7137DC8D" w14:textId="77777777" w:rsidR="00DE3C06" w:rsidRPr="000C5171" w:rsidRDefault="00DE3C06">
      <w:pPr>
        <w:pStyle w:val="Prrafodelista"/>
        <w:numPr>
          <w:ilvl w:val="0"/>
          <w:numId w:val="21"/>
        </w:numPr>
        <w:spacing w:line="276" w:lineRule="auto"/>
        <w:ind w:left="1134" w:hanging="141"/>
        <w:jc w:val="both"/>
        <w:rPr>
          <w:rFonts w:cs="Tahoma"/>
          <w:i/>
          <w:iCs/>
          <w:sz w:val="22"/>
          <w:szCs w:val="22"/>
        </w:rPr>
      </w:pPr>
      <w:r w:rsidRPr="000C5171">
        <w:rPr>
          <w:rFonts w:cs="Tahoma"/>
          <w:sz w:val="22"/>
          <w:szCs w:val="22"/>
        </w:rPr>
        <w:t xml:space="preserve">Finalmente, hay que anotar que con recursos del </w:t>
      </w:r>
      <w:r w:rsidRPr="000C5171">
        <w:rPr>
          <w:rFonts w:cs="Tahoma"/>
          <w:b/>
          <w:bCs/>
          <w:sz w:val="22"/>
          <w:szCs w:val="22"/>
        </w:rPr>
        <w:t xml:space="preserve">SGP, otras regalías y los propios de las entidades territoriales </w:t>
      </w:r>
      <w:r w:rsidRPr="000C5171">
        <w:rPr>
          <w:rFonts w:cs="Tahoma"/>
          <w:i/>
          <w:iCs/>
          <w:sz w:val="22"/>
          <w:szCs w:val="22"/>
        </w:rPr>
        <w:t>que aportan el 47,55 % de la inversión total y han financiado alrededor de 11.169 proyectos (2.388 con regalías diferentes a las aprobadas por el OCAD Paz y 8.781 proyectos aproximadamente</w:t>
      </w:r>
      <w:r w:rsidRPr="000C5171">
        <w:rPr>
          <w:rStyle w:val="Refdenotaalpie"/>
          <w:rFonts w:cs="Tahoma"/>
          <w:i/>
          <w:iCs/>
          <w:sz w:val="22"/>
          <w:szCs w:val="22"/>
        </w:rPr>
        <w:footnoteReference w:id="26"/>
      </w:r>
      <w:r w:rsidRPr="000C5171">
        <w:rPr>
          <w:rFonts w:cs="Tahoma"/>
          <w:i/>
          <w:iCs/>
          <w:sz w:val="22"/>
          <w:szCs w:val="22"/>
        </w:rPr>
        <w:t xml:space="preserve"> por SGP y recursos propios) por valor de 23,52 billones de pesos constantes de 2016 aproximadamente.</w:t>
      </w:r>
    </w:p>
    <w:p w14:paraId="0714FC1F" w14:textId="77777777" w:rsidR="00DE3C06" w:rsidRPr="000C5171" w:rsidRDefault="00DE3C06" w:rsidP="00DE3C06">
      <w:pPr>
        <w:pStyle w:val="Prrafodelista"/>
        <w:spacing w:line="276" w:lineRule="auto"/>
        <w:ind w:left="1134"/>
        <w:jc w:val="both"/>
        <w:rPr>
          <w:rFonts w:cs="Tahoma"/>
          <w:i/>
          <w:iCs/>
          <w:sz w:val="22"/>
          <w:szCs w:val="22"/>
        </w:rPr>
      </w:pPr>
    </w:p>
    <w:p w14:paraId="4B18DE25" w14:textId="77777777" w:rsidR="00DE3C06" w:rsidRPr="000C5171" w:rsidRDefault="00DE3C06">
      <w:pPr>
        <w:pStyle w:val="Prrafodelista"/>
        <w:numPr>
          <w:ilvl w:val="0"/>
          <w:numId w:val="21"/>
        </w:numPr>
        <w:spacing w:line="276" w:lineRule="auto"/>
        <w:jc w:val="both"/>
        <w:rPr>
          <w:rFonts w:cs="Tahoma"/>
          <w:b/>
          <w:bCs/>
          <w:sz w:val="22"/>
          <w:szCs w:val="22"/>
        </w:rPr>
      </w:pPr>
      <w:r w:rsidRPr="000C5171">
        <w:rPr>
          <w:rFonts w:cs="Tahoma"/>
          <w:b/>
          <w:bCs/>
          <w:sz w:val="22"/>
          <w:szCs w:val="22"/>
        </w:rPr>
        <w:t>Revisados y Actualizados los PATR</w:t>
      </w:r>
    </w:p>
    <w:p w14:paraId="140F03B7" w14:textId="77777777" w:rsidR="00DE3C06" w:rsidRPr="000C5171" w:rsidRDefault="00DE3C06" w:rsidP="00DE3C06">
      <w:pPr>
        <w:spacing w:line="276" w:lineRule="auto"/>
        <w:ind w:left="708"/>
        <w:jc w:val="both"/>
        <w:rPr>
          <w:rFonts w:cs="Tahoma"/>
          <w:sz w:val="22"/>
          <w:szCs w:val="22"/>
        </w:rPr>
      </w:pPr>
      <w:r w:rsidRPr="000C5171">
        <w:rPr>
          <w:rFonts w:cs="Tahoma"/>
          <w:sz w:val="22"/>
          <w:szCs w:val="22"/>
        </w:rPr>
        <w:t>En cumplimiento de la revisión y actualización de los PATR cada 5 años</w:t>
      </w:r>
      <w:r w:rsidRPr="000C5171">
        <w:rPr>
          <w:rStyle w:val="Refdenotaalpie"/>
          <w:rFonts w:cs="Tahoma"/>
          <w:sz w:val="22"/>
          <w:szCs w:val="22"/>
        </w:rPr>
        <w:footnoteReference w:id="27"/>
      </w:r>
      <w:r w:rsidRPr="000C5171">
        <w:rPr>
          <w:rFonts w:cs="Tahoma"/>
          <w:sz w:val="22"/>
          <w:szCs w:val="22"/>
        </w:rPr>
        <w:t>, a la fecha, las 16 subregiones PDET tienen sus PATR revisados y actualizados que cuentan, cada uno de ellos, con: (i) los diez componentes mínimos establecidos en el artículo 4 del Decreto Ley 893 de 2017, incluyendo los capítulos intercultural y étnico de programas y proyectos; (</w:t>
      </w:r>
      <w:proofErr w:type="spellStart"/>
      <w:r w:rsidRPr="000C5171">
        <w:rPr>
          <w:rFonts w:cs="Tahoma"/>
          <w:sz w:val="22"/>
          <w:szCs w:val="22"/>
        </w:rPr>
        <w:t>ii</w:t>
      </w:r>
      <w:proofErr w:type="spellEnd"/>
      <w:r w:rsidRPr="000C5171">
        <w:rPr>
          <w:rFonts w:cs="Tahoma"/>
          <w:sz w:val="22"/>
          <w:szCs w:val="22"/>
        </w:rPr>
        <w:t>) estimación de costos y fuentes de financiación; (</w:t>
      </w:r>
      <w:proofErr w:type="spellStart"/>
      <w:r w:rsidRPr="000C5171">
        <w:rPr>
          <w:rFonts w:cs="Tahoma"/>
          <w:sz w:val="22"/>
          <w:szCs w:val="22"/>
        </w:rPr>
        <w:t>iii</w:t>
      </w:r>
      <w:proofErr w:type="spellEnd"/>
      <w:r w:rsidRPr="000C5171">
        <w:rPr>
          <w:rFonts w:cs="Tahoma"/>
          <w:sz w:val="22"/>
          <w:szCs w:val="22"/>
        </w:rPr>
        <w:t xml:space="preserve">) ruta de </w:t>
      </w:r>
      <w:r w:rsidRPr="000C5171">
        <w:rPr>
          <w:rFonts w:cs="Tahoma"/>
          <w:sz w:val="22"/>
          <w:szCs w:val="22"/>
        </w:rPr>
        <w:lastRenderedPageBreak/>
        <w:t>implementación; y (</w:t>
      </w:r>
      <w:proofErr w:type="spellStart"/>
      <w:r w:rsidRPr="000C5171">
        <w:rPr>
          <w:rFonts w:cs="Tahoma"/>
          <w:sz w:val="22"/>
          <w:szCs w:val="22"/>
        </w:rPr>
        <w:t>iv</w:t>
      </w:r>
      <w:proofErr w:type="spellEnd"/>
      <w:r w:rsidRPr="000C5171">
        <w:rPr>
          <w:rFonts w:cs="Tahoma"/>
          <w:sz w:val="22"/>
          <w:szCs w:val="22"/>
        </w:rPr>
        <w:t>) acta de compromisos institucionales y comunitarios para hacerla efectiva.</w:t>
      </w:r>
    </w:p>
    <w:p w14:paraId="1F0E47E4" w14:textId="77777777" w:rsidR="00DE3C06" w:rsidRPr="000C5171" w:rsidRDefault="00DE3C06" w:rsidP="00DE3C06">
      <w:pPr>
        <w:spacing w:line="276" w:lineRule="auto"/>
        <w:ind w:left="709"/>
        <w:jc w:val="both"/>
        <w:rPr>
          <w:rFonts w:cs="Tahoma"/>
          <w:sz w:val="22"/>
          <w:szCs w:val="22"/>
        </w:rPr>
      </w:pPr>
      <w:r w:rsidRPr="000C5171">
        <w:rPr>
          <w:rFonts w:cs="Tahoma"/>
          <w:sz w:val="22"/>
          <w:szCs w:val="22"/>
        </w:rPr>
        <w:t>Al ser uno de los logros estratégicos del actual periodo, se incluye como un punto adicional a los temas requeridos en la Circular 0008-4 de 2026 del presente informe, y comprende la metodología, proceso, resultados y la ruta de implementación de los PATR revisados y actualizados.</w:t>
      </w:r>
    </w:p>
    <w:p w14:paraId="01E8C974" w14:textId="77777777" w:rsidR="00DE3C06" w:rsidRPr="000C5171" w:rsidRDefault="00DE3C06" w:rsidP="00DE3C06">
      <w:pPr>
        <w:spacing w:line="276" w:lineRule="auto"/>
        <w:ind w:left="709"/>
        <w:jc w:val="both"/>
        <w:rPr>
          <w:rFonts w:cs="Tahoma"/>
          <w:sz w:val="22"/>
          <w:szCs w:val="22"/>
        </w:rPr>
      </w:pPr>
      <w:r w:rsidRPr="000C5171">
        <w:rPr>
          <w:rFonts w:cs="Tahoma"/>
          <w:sz w:val="22"/>
          <w:szCs w:val="22"/>
        </w:rPr>
        <w:t>Es importante resaltar que la ruta de implementación de estos instrumentos es una estrategia que contempla el desarrollo de criterios, actores, componentes y acciones para su implementación, con el fin de cumplir los objetivos de los PDET, mediante la articulación e incidencia interinstitucional, sectorial, étnica y comunitaria.</w:t>
      </w:r>
    </w:p>
    <w:p w14:paraId="5A850F87" w14:textId="77777777" w:rsidR="00DE3C06" w:rsidRPr="000C5171" w:rsidRDefault="00DE3C06" w:rsidP="00DE3C06">
      <w:pPr>
        <w:spacing w:line="276" w:lineRule="auto"/>
        <w:ind w:left="709"/>
        <w:jc w:val="both"/>
        <w:rPr>
          <w:rFonts w:cs="Tahoma"/>
          <w:sz w:val="22"/>
          <w:szCs w:val="22"/>
        </w:rPr>
      </w:pPr>
      <w:r w:rsidRPr="000C5171">
        <w:rPr>
          <w:rFonts w:cs="Tahoma"/>
          <w:sz w:val="22"/>
          <w:szCs w:val="22"/>
        </w:rPr>
        <w:t xml:space="preserve"> Esta ruta comprende el paso a paso para su despliegue -a partir de su aprobación y adopción- e incluye 5 componentes: (i) incidencia para incorporar y articular el PATR en instrumentos estratégicos de planeación e inversión, y fuentes de financiación; (</w:t>
      </w:r>
      <w:proofErr w:type="spellStart"/>
      <w:r w:rsidRPr="000C5171">
        <w:rPr>
          <w:rFonts w:cs="Tahoma"/>
          <w:sz w:val="22"/>
          <w:szCs w:val="22"/>
        </w:rPr>
        <w:t>ii</w:t>
      </w:r>
      <w:proofErr w:type="spellEnd"/>
      <w:r w:rsidRPr="000C5171">
        <w:rPr>
          <w:rFonts w:cs="Tahoma"/>
          <w:sz w:val="22"/>
          <w:szCs w:val="22"/>
        </w:rPr>
        <w:t>) fortalecimiento de capacidades institucionales y comunitarias; (</w:t>
      </w:r>
      <w:proofErr w:type="spellStart"/>
      <w:r w:rsidRPr="000C5171">
        <w:rPr>
          <w:rFonts w:cs="Tahoma"/>
          <w:sz w:val="22"/>
          <w:szCs w:val="22"/>
        </w:rPr>
        <w:t>iii</w:t>
      </w:r>
      <w:proofErr w:type="spellEnd"/>
      <w:r w:rsidRPr="000C5171">
        <w:rPr>
          <w:rFonts w:cs="Tahoma"/>
          <w:sz w:val="22"/>
          <w:szCs w:val="22"/>
        </w:rPr>
        <w:t>) rediseño de la arquitectura institucional; (</w:t>
      </w:r>
      <w:proofErr w:type="spellStart"/>
      <w:r w:rsidRPr="000C5171">
        <w:rPr>
          <w:rFonts w:cs="Tahoma"/>
          <w:sz w:val="22"/>
          <w:szCs w:val="22"/>
        </w:rPr>
        <w:t>iv</w:t>
      </w:r>
      <w:proofErr w:type="spellEnd"/>
      <w:r w:rsidRPr="000C5171">
        <w:rPr>
          <w:rFonts w:cs="Tahoma"/>
          <w:sz w:val="22"/>
          <w:szCs w:val="22"/>
        </w:rPr>
        <w:t>) ajustes normativos; y (v) una estrategia de pedagogía y comunicación.</w:t>
      </w:r>
    </w:p>
    <w:p w14:paraId="3DB18437" w14:textId="77777777" w:rsidR="00DE3C06" w:rsidRPr="000C5171" w:rsidRDefault="00DE3C06">
      <w:pPr>
        <w:pStyle w:val="Prrafodelista"/>
        <w:numPr>
          <w:ilvl w:val="0"/>
          <w:numId w:val="21"/>
        </w:numPr>
        <w:spacing w:line="276" w:lineRule="auto"/>
        <w:jc w:val="both"/>
        <w:rPr>
          <w:rFonts w:cs="Tahoma"/>
          <w:b/>
          <w:bCs/>
          <w:sz w:val="22"/>
          <w:szCs w:val="22"/>
        </w:rPr>
      </w:pPr>
      <w:r w:rsidRPr="000C5171">
        <w:rPr>
          <w:rFonts w:cs="Tahoma"/>
          <w:b/>
          <w:bCs/>
          <w:sz w:val="22"/>
          <w:szCs w:val="22"/>
        </w:rPr>
        <w:t>Ampliada la vigencia de los PDET hasta el año 2037</w:t>
      </w:r>
    </w:p>
    <w:p w14:paraId="5E29F81D" w14:textId="77777777" w:rsidR="00DE3C06" w:rsidRPr="000C5171" w:rsidRDefault="00DE3C06" w:rsidP="00DE3C06">
      <w:pPr>
        <w:spacing w:line="276" w:lineRule="auto"/>
        <w:ind w:left="709"/>
        <w:jc w:val="both"/>
        <w:rPr>
          <w:rFonts w:cs="Tahoma"/>
          <w:sz w:val="22"/>
          <w:szCs w:val="22"/>
        </w:rPr>
      </w:pPr>
      <w:r w:rsidRPr="000C5171">
        <w:rPr>
          <w:rFonts w:cs="Tahoma"/>
          <w:sz w:val="22"/>
          <w:szCs w:val="22"/>
        </w:rPr>
        <w:t xml:space="preserve">La ART acompañó desde su gestación hasta la sanción presidencial, la iniciativa de las 16 curules de Paz que se materializó en Ley 2565 del 12 de febrero de 2026, que dispone:  </w:t>
      </w:r>
    </w:p>
    <w:p w14:paraId="0B204AFA" w14:textId="77777777" w:rsidR="00DE3C06" w:rsidRPr="000C5171" w:rsidRDefault="00DE3C06">
      <w:pPr>
        <w:pStyle w:val="Prrafodelista"/>
        <w:numPr>
          <w:ilvl w:val="0"/>
          <w:numId w:val="3"/>
        </w:numPr>
        <w:spacing w:line="276" w:lineRule="auto"/>
        <w:ind w:left="1134"/>
        <w:jc w:val="both"/>
        <w:rPr>
          <w:rFonts w:cs="Tahoma"/>
          <w:sz w:val="22"/>
          <w:szCs w:val="22"/>
        </w:rPr>
      </w:pPr>
      <w:r w:rsidRPr="000C5171">
        <w:rPr>
          <w:rFonts w:cs="Tahoma"/>
          <w:sz w:val="22"/>
          <w:szCs w:val="22"/>
        </w:rPr>
        <w:t>Los PDET se formularán por una sola vez y estarán vigentes hasta el 28 de mayo de 2037.</w:t>
      </w:r>
    </w:p>
    <w:p w14:paraId="70E91582" w14:textId="77777777" w:rsidR="00DE3C06" w:rsidRPr="000C5171" w:rsidRDefault="00DE3C06" w:rsidP="00DE3C06">
      <w:pPr>
        <w:pStyle w:val="Prrafodelista"/>
        <w:spacing w:line="276" w:lineRule="auto"/>
        <w:ind w:left="1134"/>
        <w:jc w:val="both"/>
        <w:rPr>
          <w:rFonts w:cs="Tahoma"/>
          <w:sz w:val="22"/>
          <w:szCs w:val="22"/>
        </w:rPr>
      </w:pPr>
    </w:p>
    <w:p w14:paraId="38EB2160" w14:textId="77777777" w:rsidR="00DE3C06" w:rsidRPr="000C5171" w:rsidRDefault="00DE3C06">
      <w:pPr>
        <w:pStyle w:val="Prrafodelista"/>
        <w:numPr>
          <w:ilvl w:val="0"/>
          <w:numId w:val="3"/>
        </w:numPr>
        <w:spacing w:line="276" w:lineRule="auto"/>
        <w:ind w:left="1134"/>
        <w:jc w:val="both"/>
        <w:rPr>
          <w:rFonts w:cs="Tahoma"/>
          <w:sz w:val="22"/>
          <w:szCs w:val="22"/>
        </w:rPr>
      </w:pPr>
      <w:r w:rsidRPr="000C5171">
        <w:rPr>
          <w:rFonts w:cs="Tahoma"/>
          <w:sz w:val="22"/>
          <w:szCs w:val="22"/>
        </w:rPr>
        <w:t>Los Planes Nacionales Sectoriales, Planes integrales de Sustitución y Desarrollo Alternativo, Planes integrales de Reparación. Colectiva, los Planes de Retorno y Reubicación, el Plan Marco de implementación cuando haya lugar y demás instrumentos derivados del Acuerdo Final deberán articularse con los PDET y los PATR, garantizando la concurrencia de recursos para su implementación prioritaria, que deberán incluirse en los planes estratégicos y los planes operativos anuales de las entidades correspondientes.</w:t>
      </w:r>
    </w:p>
    <w:p w14:paraId="2F6C312C" w14:textId="77777777" w:rsidR="00DE3C06" w:rsidRPr="000C5171" w:rsidRDefault="00DE3C06" w:rsidP="00DE3C06">
      <w:pPr>
        <w:pStyle w:val="Prrafodelista"/>
        <w:spacing w:line="276" w:lineRule="auto"/>
        <w:ind w:left="1134"/>
        <w:jc w:val="both"/>
        <w:rPr>
          <w:rFonts w:cs="Tahoma"/>
          <w:sz w:val="22"/>
          <w:szCs w:val="22"/>
        </w:rPr>
      </w:pPr>
    </w:p>
    <w:p w14:paraId="64A741E5" w14:textId="77777777" w:rsidR="00DE3C06" w:rsidRPr="000C5171" w:rsidRDefault="00DE3C06">
      <w:pPr>
        <w:pStyle w:val="Prrafodelista"/>
        <w:numPr>
          <w:ilvl w:val="0"/>
          <w:numId w:val="3"/>
        </w:numPr>
        <w:spacing w:line="276" w:lineRule="auto"/>
        <w:ind w:left="1134"/>
        <w:jc w:val="both"/>
        <w:rPr>
          <w:rFonts w:cs="Tahoma"/>
          <w:sz w:val="22"/>
          <w:szCs w:val="22"/>
        </w:rPr>
      </w:pPr>
      <w:r w:rsidRPr="000C5171">
        <w:rPr>
          <w:rFonts w:cs="Tahoma"/>
          <w:sz w:val="22"/>
          <w:szCs w:val="22"/>
        </w:rPr>
        <w:t xml:space="preserve">El Gobierno nacional, por intermedio de Ministerio del Interior, el Departamento Nacional de Planeación, la Unidad de implementación del Acuerdo Final y la Agencia de Renovación del Territorio, adoptará un programa de fortalecimiento de capacidades de los actores territoriales en los municipios beneficiarios de los PDET para garantizar su participación en la implementación de estos programas y </w:t>
      </w:r>
      <w:r w:rsidRPr="000C5171">
        <w:rPr>
          <w:rFonts w:cs="Tahoma"/>
          <w:sz w:val="22"/>
          <w:szCs w:val="22"/>
        </w:rPr>
        <w:lastRenderedPageBreak/>
        <w:t>facilitar la presentación de proyectos ante las instancias pertinentes. El mencionado programa no podrá afectar la autonomía de los territorios PDET en la definición de sus proyectos y deberá incorporar mecanismos para fortalecer los procesos de transparencia y rendición de cuentas de estos municipios.</w:t>
      </w:r>
    </w:p>
    <w:p w14:paraId="7F97D105" w14:textId="77777777" w:rsidR="00DE3C06" w:rsidRPr="000C5171" w:rsidRDefault="00DE3C06" w:rsidP="00DE3C06">
      <w:pPr>
        <w:pStyle w:val="Prrafodelista"/>
        <w:spacing w:line="276" w:lineRule="auto"/>
        <w:ind w:left="1134"/>
        <w:jc w:val="both"/>
        <w:rPr>
          <w:rFonts w:cs="Tahoma"/>
          <w:sz w:val="22"/>
          <w:szCs w:val="22"/>
        </w:rPr>
      </w:pPr>
    </w:p>
    <w:p w14:paraId="7E3A9D0E" w14:textId="77777777" w:rsidR="00DE3C06" w:rsidRPr="000C5171" w:rsidRDefault="00DE3C06">
      <w:pPr>
        <w:pStyle w:val="Prrafodelista"/>
        <w:numPr>
          <w:ilvl w:val="0"/>
          <w:numId w:val="3"/>
        </w:numPr>
        <w:spacing w:line="276" w:lineRule="auto"/>
        <w:ind w:left="1134"/>
        <w:jc w:val="both"/>
        <w:rPr>
          <w:rFonts w:cs="Tahoma"/>
          <w:sz w:val="22"/>
          <w:szCs w:val="22"/>
        </w:rPr>
      </w:pPr>
      <w:r w:rsidRPr="000C5171">
        <w:rPr>
          <w:rFonts w:cs="Tahoma"/>
          <w:sz w:val="22"/>
          <w:szCs w:val="22"/>
        </w:rPr>
        <w:t>Integrar una comisión conformada por el Departamento Nacional de Planeación, quien coordinará, el Ministerio de Hacienda y la Agencia de Renovación del Territorio, la cual elaborará un estudio técnico sobre el avance de la implementación de los PDET, en un término no mayor a 1 año contado a partir de la publicación de la ley.</w:t>
      </w:r>
    </w:p>
    <w:bookmarkEnd w:id="14"/>
    <w:p w14:paraId="29A82630" w14:textId="77777777" w:rsidR="00DE3C06" w:rsidRPr="000C5171" w:rsidRDefault="00DE3C06" w:rsidP="00DE3C06">
      <w:pPr>
        <w:spacing w:line="276" w:lineRule="auto"/>
        <w:jc w:val="both"/>
        <w:rPr>
          <w:rFonts w:cs="Tahoma"/>
          <w:sz w:val="22"/>
          <w:szCs w:val="22"/>
        </w:rPr>
      </w:pPr>
      <w:r w:rsidRPr="000C5171">
        <w:rPr>
          <w:rFonts w:eastAsia="Arial" w:cs="Tahoma"/>
          <w:sz w:val="22"/>
          <w:szCs w:val="22"/>
        </w:rPr>
        <w:t>En cumplimiento de este mandato y en articulación con el Departamento Nacional de Planeación (DNP) y el Ministerio de Hacienda y Crédito Público, en el marco de la comisión técnica conformada para este propósito, se ha avanzado en la definición del alcance del estudio, la construcción de una propuesta metodológica, la consolidación de las principales fuentes de información y la formulación del cronograma general de trabajo que orientará las diferentes fases del proceso hasta febrero de 2027.</w:t>
      </w:r>
    </w:p>
    <w:p w14:paraId="32CDBBE8" w14:textId="77777777" w:rsidR="00DE3C06" w:rsidRPr="000C5171" w:rsidRDefault="00DE3C06" w:rsidP="00DE3C06">
      <w:pPr>
        <w:spacing w:line="276" w:lineRule="auto"/>
        <w:jc w:val="both"/>
        <w:rPr>
          <w:rFonts w:eastAsia="Arial" w:cs="Tahoma"/>
          <w:sz w:val="22"/>
          <w:szCs w:val="22"/>
        </w:rPr>
      </w:pPr>
      <w:r w:rsidRPr="000C5171">
        <w:rPr>
          <w:rFonts w:eastAsia="Arial" w:cs="Tahoma"/>
          <w:sz w:val="22"/>
          <w:szCs w:val="22"/>
        </w:rPr>
        <w:t xml:space="preserve">Asimismo, se han establecido mesas de trabajo técnicas para el diagnóstico y formulación del Programa de Fortalecimiento de Capacidades y la identificación de fuentes de información disponibles en las diferentes entidades, como es el caso de la ART, la Unidad de Implementación, el Ministerio del Interior y la UIAFP. </w:t>
      </w:r>
    </w:p>
    <w:p w14:paraId="19AE7D2A" w14:textId="77777777" w:rsidR="00DE3C06" w:rsidRPr="000C5171" w:rsidRDefault="00DE3C06" w:rsidP="00DE3C06">
      <w:pPr>
        <w:spacing w:line="276" w:lineRule="auto"/>
        <w:jc w:val="both"/>
        <w:rPr>
          <w:rFonts w:eastAsia="Arial" w:cs="Tahoma"/>
          <w:sz w:val="22"/>
          <w:szCs w:val="22"/>
        </w:rPr>
      </w:pPr>
      <w:r w:rsidRPr="000C5171">
        <w:rPr>
          <w:rFonts w:eastAsia="Arial" w:cs="Tahoma"/>
          <w:sz w:val="22"/>
          <w:szCs w:val="22"/>
        </w:rPr>
        <w:t>Esta norma, que amplía los PDET hasta el año 2037, representa sin duda otro logro estratégico de la actual administración de la ART.</w:t>
      </w:r>
    </w:p>
    <w:p w14:paraId="56046B7B" w14:textId="77777777" w:rsidR="00DE3C06" w:rsidRPr="000C5171" w:rsidRDefault="00DE3C06" w:rsidP="00DE3C06">
      <w:pPr>
        <w:spacing w:after="0" w:line="276" w:lineRule="auto"/>
        <w:ind w:firstLine="567"/>
        <w:rPr>
          <w:rFonts w:cs="Tahoma"/>
          <w:b/>
          <w:bCs/>
          <w:color w:val="3A7C22" w:themeColor="accent6" w:themeShade="BF"/>
          <w:sz w:val="22"/>
          <w:szCs w:val="22"/>
        </w:rPr>
      </w:pPr>
    </w:p>
    <w:p w14:paraId="029C2282" w14:textId="77777777" w:rsidR="00DE3C06" w:rsidRPr="000C5171" w:rsidRDefault="00DE3C06" w:rsidP="00DE3C06">
      <w:pPr>
        <w:spacing w:after="0" w:line="276" w:lineRule="auto"/>
        <w:rPr>
          <w:rFonts w:cs="Tahoma"/>
          <w:b/>
          <w:bCs/>
          <w:color w:val="0070C0"/>
          <w:sz w:val="22"/>
          <w:szCs w:val="22"/>
        </w:rPr>
      </w:pPr>
      <w:r w:rsidRPr="000C5171">
        <w:rPr>
          <w:rFonts w:cs="Tahoma"/>
          <w:b/>
          <w:bCs/>
          <w:color w:val="0070C0"/>
          <w:sz w:val="22"/>
          <w:szCs w:val="22"/>
        </w:rPr>
        <w:t>5.3.2.2 RETOS</w:t>
      </w:r>
    </w:p>
    <w:p w14:paraId="3AE47A04" w14:textId="77777777" w:rsidR="00DE3C06" w:rsidRPr="000C5171" w:rsidRDefault="00DE3C06" w:rsidP="00DE3C06">
      <w:pPr>
        <w:spacing w:after="0" w:line="276" w:lineRule="auto"/>
        <w:rPr>
          <w:rFonts w:cs="Tahoma"/>
          <w:b/>
          <w:bCs/>
          <w:color w:val="3A7C22" w:themeColor="accent6" w:themeShade="BF"/>
          <w:sz w:val="22"/>
          <w:szCs w:val="22"/>
        </w:rPr>
      </w:pPr>
    </w:p>
    <w:p w14:paraId="6A29CC69" w14:textId="77777777" w:rsidR="00DE3C06" w:rsidRPr="000C5171" w:rsidRDefault="00DE3C06" w:rsidP="00DE3C06">
      <w:pPr>
        <w:spacing w:after="0" w:line="276" w:lineRule="auto"/>
        <w:jc w:val="both"/>
        <w:rPr>
          <w:rFonts w:cs="Tahoma"/>
          <w:sz w:val="22"/>
          <w:szCs w:val="22"/>
        </w:rPr>
      </w:pPr>
      <w:r w:rsidRPr="000C5171">
        <w:rPr>
          <w:rFonts w:cs="Tahoma"/>
          <w:sz w:val="22"/>
          <w:szCs w:val="22"/>
        </w:rPr>
        <w:t>De acuerdo, en primer lugar, al balance en la implementación de los PDET con relación a la incidencia de la violencia y de los cultivos de uso ilícito y otras economías ilegítimas y, en segundo lugar, a la revisión del diagnóstico y la visión en el proceso de actualización de los PATR, se pueden señalar los siguientes retos estratégicos para avanzar significativamente en el logro de la finalidad de los PDET.</w:t>
      </w:r>
    </w:p>
    <w:p w14:paraId="6093CAA2" w14:textId="77777777" w:rsidR="00DE3C06" w:rsidRPr="000C5171" w:rsidRDefault="00DE3C06" w:rsidP="00DE3C06">
      <w:pPr>
        <w:spacing w:after="0" w:line="276" w:lineRule="auto"/>
        <w:ind w:left="360"/>
        <w:rPr>
          <w:rFonts w:cs="Tahoma"/>
          <w:sz w:val="22"/>
          <w:szCs w:val="22"/>
        </w:rPr>
      </w:pPr>
    </w:p>
    <w:p w14:paraId="20D197AC" w14:textId="77777777" w:rsidR="00DE3C06" w:rsidRPr="000C5171" w:rsidRDefault="00DE3C06">
      <w:pPr>
        <w:pStyle w:val="Prrafodelista"/>
        <w:numPr>
          <w:ilvl w:val="0"/>
          <w:numId w:val="21"/>
        </w:numPr>
        <w:spacing w:after="0" w:line="276" w:lineRule="auto"/>
        <w:ind w:left="1276"/>
        <w:jc w:val="both"/>
        <w:rPr>
          <w:rFonts w:cs="Tahoma"/>
          <w:sz w:val="22"/>
          <w:szCs w:val="22"/>
        </w:rPr>
      </w:pPr>
      <w:r w:rsidRPr="000C5171">
        <w:rPr>
          <w:rFonts w:cs="Tahoma"/>
          <w:sz w:val="22"/>
          <w:szCs w:val="22"/>
        </w:rPr>
        <w:t xml:space="preserve">Fortalecer, como parte de un gran acuerdo nacional que supere la polarización política que vive el país,  con una adopción y aplicación en los territorios PDET y otros históricamente excluidos de una política estatal e integral de seguridad, paz,  presencia institucional, mayor inversión social, equidad territorial y sostenibilidad ambiental como condición necesaria para avanzar en la </w:t>
      </w:r>
      <w:r w:rsidRPr="000C5171">
        <w:rPr>
          <w:rFonts w:cs="Tahoma"/>
          <w:sz w:val="22"/>
          <w:szCs w:val="22"/>
        </w:rPr>
        <w:lastRenderedPageBreak/>
        <w:t xml:space="preserve">implementación de los PDET, en el marco de la Reforma Rural Integral y de tránsito de las economías ilegalizadas a economías legales, por cuanto: </w:t>
      </w:r>
    </w:p>
    <w:p w14:paraId="23B46DC3" w14:textId="77777777" w:rsidR="00DE3C06" w:rsidRPr="000C5171" w:rsidRDefault="00DE3C06" w:rsidP="00DE3C06">
      <w:pPr>
        <w:pStyle w:val="Prrafodelista"/>
        <w:spacing w:after="0" w:line="276" w:lineRule="auto"/>
        <w:rPr>
          <w:rFonts w:cs="Tahoma"/>
          <w:sz w:val="22"/>
          <w:szCs w:val="22"/>
        </w:rPr>
      </w:pPr>
    </w:p>
    <w:p w14:paraId="5BE3A83B" w14:textId="77777777" w:rsidR="00DE3C06" w:rsidRPr="000C5171" w:rsidRDefault="00DE3C06">
      <w:pPr>
        <w:pStyle w:val="Prrafodelista"/>
        <w:numPr>
          <w:ilvl w:val="0"/>
          <w:numId w:val="4"/>
        </w:numPr>
        <w:spacing w:line="276" w:lineRule="auto"/>
        <w:ind w:left="1701"/>
        <w:jc w:val="both"/>
        <w:rPr>
          <w:rFonts w:cs="Tahoma"/>
          <w:sz w:val="22"/>
          <w:szCs w:val="22"/>
        </w:rPr>
      </w:pPr>
      <w:r w:rsidRPr="000C5171">
        <w:rPr>
          <w:rFonts w:cs="Tahoma"/>
          <w:sz w:val="22"/>
          <w:szCs w:val="22"/>
        </w:rPr>
        <w:t>La incidencia del conflicto en municipios PDET ha aumentado pasando de 36,5% en 2018 (62 municipios en categoría muy alta de 170) a 39,4% en 2023 (67/170). La brecha PDET – Nacional ha incrementado pasando de 28,5 p.p. en 2018 a 30,9 p.p. en 2023., última información disponible.</w:t>
      </w:r>
    </w:p>
    <w:p w14:paraId="47B9C9D5" w14:textId="77777777" w:rsidR="00DE3C06" w:rsidRPr="000C5171" w:rsidRDefault="00DE3C06">
      <w:pPr>
        <w:pStyle w:val="Prrafodelista"/>
        <w:numPr>
          <w:ilvl w:val="0"/>
          <w:numId w:val="4"/>
        </w:numPr>
        <w:spacing w:line="276" w:lineRule="auto"/>
        <w:ind w:left="1701"/>
        <w:jc w:val="both"/>
        <w:rPr>
          <w:rFonts w:cs="Tahoma"/>
          <w:sz w:val="22"/>
          <w:szCs w:val="22"/>
        </w:rPr>
      </w:pPr>
      <w:r w:rsidRPr="000C5171">
        <w:rPr>
          <w:rFonts w:cs="Tahoma"/>
          <w:sz w:val="22"/>
          <w:szCs w:val="22"/>
        </w:rPr>
        <w:t xml:space="preserve"> Entre 2018 y 2024 las hectáreas de coca se incrementaron en todo el país en 92,36 miles de hectáreas (ha), al pasar de 169.018,2 ha a 261.386,2 ha respectivamente. Las hectáreas en municipios PDET respecto al total nacional se han mantenido alrededor del 94,02 %. A esto hay que sumar el fortalecimiento en los territorios PDET de otras economías ilícitas, principalmente la minería ilegal y la extorsión. </w:t>
      </w:r>
    </w:p>
    <w:p w14:paraId="3D80C785" w14:textId="77777777" w:rsidR="00DE3C06" w:rsidRPr="000C5171" w:rsidRDefault="00DE3C06" w:rsidP="00DE3C06">
      <w:pPr>
        <w:spacing w:line="276" w:lineRule="auto"/>
        <w:ind w:left="1701"/>
        <w:jc w:val="both"/>
        <w:rPr>
          <w:rFonts w:cs="Tahoma"/>
          <w:sz w:val="22"/>
          <w:szCs w:val="22"/>
        </w:rPr>
      </w:pPr>
      <w:r w:rsidRPr="000C5171">
        <w:rPr>
          <w:rFonts w:cs="Tahoma"/>
          <w:sz w:val="22"/>
          <w:szCs w:val="22"/>
        </w:rPr>
        <w:t>El incremento de la violencia y de las economías ilícitas son dos factores que se retroalimentan mutuamente y, en mucho, se explica por el hecho que, a los territorios históricamente ocupados por las FARC, antes que el Estado, llegaron otros grupos armados al margen de la ley casi siempre ligados a dichas economías.</w:t>
      </w:r>
    </w:p>
    <w:p w14:paraId="10731CAD" w14:textId="77777777" w:rsidR="00DE3C06" w:rsidRPr="000C5171" w:rsidRDefault="00DE3C06">
      <w:pPr>
        <w:pStyle w:val="Prrafodelista"/>
        <w:numPr>
          <w:ilvl w:val="0"/>
          <w:numId w:val="21"/>
        </w:numPr>
        <w:spacing w:line="276" w:lineRule="auto"/>
        <w:jc w:val="both"/>
        <w:rPr>
          <w:rFonts w:cs="Tahoma"/>
          <w:sz w:val="22"/>
          <w:szCs w:val="22"/>
        </w:rPr>
      </w:pPr>
      <w:r w:rsidRPr="000C5171">
        <w:rPr>
          <w:rFonts w:cs="Tahoma"/>
          <w:sz w:val="22"/>
          <w:szCs w:val="22"/>
        </w:rPr>
        <w:t xml:space="preserve">Promover la máxima integridad y una política de </w:t>
      </w:r>
      <w:proofErr w:type="gramStart"/>
      <w:r w:rsidRPr="000C5171">
        <w:rPr>
          <w:rFonts w:cs="Tahoma"/>
          <w:sz w:val="22"/>
          <w:szCs w:val="22"/>
        </w:rPr>
        <w:t>cero tolerancia</w:t>
      </w:r>
      <w:proofErr w:type="gramEnd"/>
      <w:r w:rsidRPr="000C5171">
        <w:rPr>
          <w:rFonts w:cs="Tahoma"/>
          <w:sz w:val="22"/>
          <w:szCs w:val="22"/>
        </w:rPr>
        <w:t xml:space="preserve"> a la corrupción, en el manejo de los recursos destinados a la Implementación del Acuerdo de Paz en general y en particular a la financiación de programas, subprogramas y proyectos contemplados en los PATR revisados y actualizados.</w:t>
      </w:r>
    </w:p>
    <w:p w14:paraId="2B1FC6C8" w14:textId="77777777" w:rsidR="00DE3C06" w:rsidRPr="000C5171" w:rsidRDefault="00DE3C06" w:rsidP="00DE3C06">
      <w:pPr>
        <w:pStyle w:val="Prrafodelista"/>
        <w:spacing w:line="276" w:lineRule="auto"/>
        <w:ind w:left="1211" w:hanging="360"/>
        <w:jc w:val="both"/>
        <w:rPr>
          <w:rFonts w:cs="Tahoma"/>
          <w:sz w:val="22"/>
          <w:szCs w:val="22"/>
        </w:rPr>
      </w:pPr>
    </w:p>
    <w:p w14:paraId="7D19A764" w14:textId="77777777" w:rsidR="00DE3C06" w:rsidRPr="000C5171" w:rsidRDefault="00DE3C06" w:rsidP="00DE3C06">
      <w:pPr>
        <w:pStyle w:val="Prrafodelista"/>
        <w:spacing w:line="276" w:lineRule="auto"/>
        <w:ind w:left="1211"/>
        <w:jc w:val="both"/>
        <w:rPr>
          <w:rFonts w:cs="Tahoma"/>
          <w:sz w:val="22"/>
          <w:szCs w:val="22"/>
        </w:rPr>
      </w:pPr>
      <w:r w:rsidRPr="000C5171">
        <w:rPr>
          <w:rFonts w:cs="Tahoma"/>
          <w:sz w:val="22"/>
          <w:szCs w:val="22"/>
        </w:rPr>
        <w:t xml:space="preserve">Especial atención debe prestarse a la adopción de medidas encaminadas a garantizar la transparencia en el proceso de aprobación de proyectos financiados con recursos de la Asignación para la Paz del OCAD Paz. </w:t>
      </w:r>
    </w:p>
    <w:p w14:paraId="5C37A522" w14:textId="77777777" w:rsidR="00DE3C06" w:rsidRPr="000C5171" w:rsidRDefault="00DE3C06" w:rsidP="00DE3C06">
      <w:pPr>
        <w:pStyle w:val="Prrafodelista"/>
        <w:spacing w:line="276" w:lineRule="auto"/>
        <w:ind w:left="1211"/>
        <w:jc w:val="both"/>
        <w:rPr>
          <w:rFonts w:cs="Tahoma"/>
          <w:sz w:val="22"/>
          <w:szCs w:val="22"/>
        </w:rPr>
      </w:pPr>
    </w:p>
    <w:p w14:paraId="5DC6E24A" w14:textId="77777777" w:rsidR="00DE3C06" w:rsidRPr="000C5171" w:rsidRDefault="00DE3C06">
      <w:pPr>
        <w:pStyle w:val="Prrafodelista"/>
        <w:numPr>
          <w:ilvl w:val="0"/>
          <w:numId w:val="21"/>
        </w:numPr>
        <w:spacing w:line="276" w:lineRule="auto"/>
        <w:jc w:val="both"/>
        <w:rPr>
          <w:rFonts w:cs="Tahoma"/>
          <w:sz w:val="22"/>
          <w:szCs w:val="22"/>
        </w:rPr>
      </w:pPr>
      <w:r w:rsidRPr="000C5171">
        <w:rPr>
          <w:rFonts w:cs="Tahoma"/>
          <w:sz w:val="22"/>
          <w:szCs w:val="22"/>
        </w:rPr>
        <w:t xml:space="preserve">Avanzar prioritariamente en la adaptación al cambio climático en los territorios PDET, y la mitigación de sus impactos, mediante el ordenamiento del territorio en torno al agua, la recuperación y preservación de los ecosistemas ambientales, el tránsito de energías fósiles a energías limpias. </w:t>
      </w:r>
    </w:p>
    <w:p w14:paraId="31E42207" w14:textId="77777777" w:rsidR="00DE3C06" w:rsidRPr="000C5171" w:rsidRDefault="00DE3C06" w:rsidP="00DE3C06">
      <w:pPr>
        <w:pStyle w:val="Prrafodelista"/>
        <w:spacing w:line="276" w:lineRule="auto"/>
        <w:ind w:left="1211"/>
        <w:jc w:val="both"/>
        <w:rPr>
          <w:rFonts w:cs="Tahoma"/>
          <w:sz w:val="22"/>
          <w:szCs w:val="22"/>
        </w:rPr>
      </w:pPr>
      <w:r w:rsidRPr="000C5171">
        <w:rPr>
          <w:rFonts w:cs="Tahoma"/>
          <w:sz w:val="22"/>
          <w:szCs w:val="22"/>
        </w:rPr>
        <w:t>Se requiere la articulación con los Planes de Zonificación Ambiental, la Estrategia Nacional de Restauración, la estrategia y programas de generación de energías limpias y demás normativas e instrumentos de planeación en materia ambiental.</w:t>
      </w:r>
    </w:p>
    <w:p w14:paraId="17FA24A9" w14:textId="77777777" w:rsidR="00DE3C06" w:rsidRPr="000C5171" w:rsidRDefault="00DE3C06" w:rsidP="00DE3C06">
      <w:pPr>
        <w:pStyle w:val="Prrafodelista"/>
        <w:spacing w:line="276" w:lineRule="auto"/>
        <w:jc w:val="both"/>
        <w:rPr>
          <w:rFonts w:cs="Tahoma"/>
          <w:sz w:val="22"/>
          <w:szCs w:val="22"/>
        </w:rPr>
      </w:pPr>
    </w:p>
    <w:p w14:paraId="725D311F" w14:textId="77777777" w:rsidR="00DE3C06" w:rsidRPr="000C5171" w:rsidRDefault="00DE3C06">
      <w:pPr>
        <w:pStyle w:val="Prrafodelista"/>
        <w:numPr>
          <w:ilvl w:val="0"/>
          <w:numId w:val="21"/>
        </w:numPr>
        <w:spacing w:line="276" w:lineRule="auto"/>
        <w:jc w:val="both"/>
        <w:rPr>
          <w:rFonts w:cs="Tahoma"/>
          <w:sz w:val="22"/>
          <w:szCs w:val="22"/>
        </w:rPr>
      </w:pPr>
      <w:r w:rsidRPr="000C5171">
        <w:rPr>
          <w:rFonts w:cs="Tahoma"/>
          <w:sz w:val="22"/>
          <w:szCs w:val="22"/>
        </w:rPr>
        <w:t xml:space="preserve">Avanzar con celeridad en la implementación en los territorios PDET del Plan Nacional de Conectividad Digital, para evitar que se profundice la brecha de </w:t>
      </w:r>
      <w:r w:rsidRPr="000C5171">
        <w:rPr>
          <w:rFonts w:cs="Tahoma"/>
          <w:sz w:val="22"/>
          <w:szCs w:val="22"/>
        </w:rPr>
        <w:lastRenderedPageBreak/>
        <w:t xml:space="preserve">rezago tecnológico y digital, en plena época de la transformación informática y de los avances en la Inteligencia Artificial y desarrollo similares. </w:t>
      </w:r>
    </w:p>
    <w:p w14:paraId="7C326845" w14:textId="77777777" w:rsidR="00DE3C06" w:rsidRPr="000C5171" w:rsidRDefault="00DE3C06" w:rsidP="00DE3C06">
      <w:pPr>
        <w:pStyle w:val="Prrafodelista"/>
        <w:spacing w:line="276" w:lineRule="auto"/>
        <w:ind w:left="1211"/>
        <w:jc w:val="both"/>
        <w:rPr>
          <w:rFonts w:cs="Tahoma"/>
          <w:sz w:val="22"/>
          <w:szCs w:val="22"/>
        </w:rPr>
      </w:pPr>
    </w:p>
    <w:p w14:paraId="34D72291" w14:textId="77777777" w:rsidR="00DE3C06" w:rsidRPr="000C5171" w:rsidRDefault="00DE3C06" w:rsidP="00DE3C06">
      <w:pPr>
        <w:pStyle w:val="Prrafodelista"/>
        <w:spacing w:line="276" w:lineRule="auto"/>
        <w:ind w:left="1211"/>
        <w:jc w:val="both"/>
        <w:rPr>
          <w:rFonts w:cs="Tahoma"/>
          <w:sz w:val="22"/>
          <w:szCs w:val="22"/>
        </w:rPr>
      </w:pPr>
      <w:r w:rsidRPr="000C5171">
        <w:rPr>
          <w:rFonts w:cs="Tahoma"/>
          <w:sz w:val="22"/>
          <w:szCs w:val="22"/>
        </w:rPr>
        <w:t>Se debe incluir el desarrollo de infraestructura tecnológica y digital, equipamiento y software de última generación en los municipios PDET y procesos formativos que capaciten a los docentes, jóvenes y demás actores de los territorios en la programación y manejo de herramientas digitales.</w:t>
      </w:r>
    </w:p>
    <w:p w14:paraId="3C55E620" w14:textId="77777777" w:rsidR="00DE3C06" w:rsidRPr="000C5171" w:rsidRDefault="00DE3C06" w:rsidP="00DE3C06">
      <w:pPr>
        <w:pStyle w:val="Prrafodelista"/>
        <w:spacing w:line="276" w:lineRule="auto"/>
        <w:ind w:left="1211"/>
        <w:jc w:val="both"/>
        <w:rPr>
          <w:rFonts w:cs="Tahoma"/>
          <w:sz w:val="22"/>
          <w:szCs w:val="22"/>
        </w:rPr>
      </w:pPr>
    </w:p>
    <w:p w14:paraId="466A1E1C" w14:textId="77777777" w:rsidR="00DE3C06" w:rsidRPr="000C5171" w:rsidRDefault="00DE3C06" w:rsidP="00DE3C06">
      <w:pPr>
        <w:pStyle w:val="Prrafodelista"/>
        <w:spacing w:line="276" w:lineRule="auto"/>
        <w:ind w:left="1211"/>
        <w:jc w:val="both"/>
        <w:rPr>
          <w:rFonts w:cs="Tahoma"/>
          <w:sz w:val="22"/>
          <w:szCs w:val="22"/>
        </w:rPr>
      </w:pPr>
      <w:r w:rsidRPr="000C5171">
        <w:rPr>
          <w:rFonts w:cs="Tahoma"/>
          <w:sz w:val="22"/>
          <w:szCs w:val="22"/>
        </w:rPr>
        <w:t xml:space="preserve">En este punto es conveniente anotar, que la ART y MinTIC tienen en ejecución el proyecto Zonas Comunitarias para la Paz que lleva internet satelital a 1405 instituciones educativas de 160 municipios PDET y que beneficia a más de 1.089.469 personas entre comunidad estudiantil y comunidades aledañas al proyecto. </w:t>
      </w:r>
      <w:r w:rsidRPr="000C5171">
        <w:rPr>
          <w:rFonts w:cs="Tahoma"/>
          <w:i/>
          <w:iCs/>
          <w:sz w:val="22"/>
          <w:szCs w:val="22"/>
        </w:rPr>
        <w:t>Es importante revisar el estado y continuidad del proyecto, lo cual   se explica como tema prioritario técnico en el numeral 11 del presente documento.</w:t>
      </w:r>
      <w:r w:rsidRPr="000C5171">
        <w:rPr>
          <w:rFonts w:cs="Tahoma"/>
          <w:sz w:val="22"/>
          <w:szCs w:val="22"/>
        </w:rPr>
        <w:t xml:space="preserve">  </w:t>
      </w:r>
    </w:p>
    <w:p w14:paraId="7011F2C2" w14:textId="77777777" w:rsidR="00DE3C06" w:rsidRPr="000C5171" w:rsidRDefault="00DE3C06" w:rsidP="00DE3C06">
      <w:pPr>
        <w:pStyle w:val="Prrafodelista"/>
        <w:spacing w:line="276" w:lineRule="auto"/>
        <w:ind w:left="1380"/>
        <w:jc w:val="both"/>
        <w:rPr>
          <w:rFonts w:cs="Tahoma"/>
          <w:sz w:val="22"/>
          <w:szCs w:val="22"/>
        </w:rPr>
      </w:pPr>
    </w:p>
    <w:p w14:paraId="7B9AED77" w14:textId="77777777" w:rsidR="00DE3C06" w:rsidRPr="000C5171" w:rsidRDefault="00DE3C06">
      <w:pPr>
        <w:pStyle w:val="Prrafodelista"/>
        <w:numPr>
          <w:ilvl w:val="0"/>
          <w:numId w:val="21"/>
        </w:numPr>
        <w:spacing w:line="276" w:lineRule="auto"/>
        <w:jc w:val="both"/>
        <w:rPr>
          <w:rFonts w:cs="Tahoma"/>
          <w:sz w:val="22"/>
          <w:szCs w:val="22"/>
        </w:rPr>
      </w:pPr>
      <w:r w:rsidRPr="000C5171">
        <w:rPr>
          <w:rFonts w:cs="Tahoma"/>
          <w:sz w:val="22"/>
          <w:szCs w:val="22"/>
        </w:rPr>
        <w:t xml:space="preserve">Fortalecer hacia adelante los recursos de inversión de la ART tanto de los que percibe de manera directa y especialmente de los que se asignan a la subcuenta PDET del FCP, como una forma de compensar la limitada asignación de recursos de inversión en esta subcuenta en el actual período. </w:t>
      </w:r>
    </w:p>
    <w:p w14:paraId="0194EB24" w14:textId="77777777" w:rsidR="00DE3C06" w:rsidRPr="000C5171" w:rsidRDefault="00DE3C06" w:rsidP="00DE3C06">
      <w:pPr>
        <w:pStyle w:val="Prrafodelista"/>
        <w:spacing w:line="276" w:lineRule="auto"/>
        <w:jc w:val="both"/>
        <w:rPr>
          <w:rFonts w:cs="Tahoma"/>
          <w:sz w:val="22"/>
          <w:szCs w:val="22"/>
        </w:rPr>
      </w:pPr>
    </w:p>
    <w:p w14:paraId="490D6FC3" w14:textId="77777777" w:rsidR="00DE3C06" w:rsidRPr="000C5171" w:rsidRDefault="00DE3C06">
      <w:pPr>
        <w:pStyle w:val="Prrafodelista"/>
        <w:numPr>
          <w:ilvl w:val="0"/>
          <w:numId w:val="21"/>
        </w:numPr>
        <w:spacing w:line="276" w:lineRule="auto"/>
        <w:jc w:val="both"/>
        <w:rPr>
          <w:rFonts w:cs="Tahoma"/>
          <w:sz w:val="22"/>
          <w:szCs w:val="22"/>
        </w:rPr>
      </w:pPr>
      <w:r w:rsidRPr="000C5171">
        <w:rPr>
          <w:rFonts w:cs="Tahoma"/>
          <w:sz w:val="22"/>
          <w:szCs w:val="22"/>
        </w:rPr>
        <w:t xml:space="preserve">Implementar los PATR revisados y actualizados para que cumplan la finalidad y objetivos de los PDET, teniendo como horizonte de tiempo el año 2037. </w:t>
      </w:r>
    </w:p>
    <w:p w14:paraId="238561B6" w14:textId="77777777" w:rsidR="00DE3C06" w:rsidRPr="000C5171" w:rsidRDefault="00DE3C06" w:rsidP="00DE3C06">
      <w:pPr>
        <w:pStyle w:val="Prrafodelista"/>
        <w:spacing w:line="276" w:lineRule="auto"/>
        <w:jc w:val="both"/>
        <w:rPr>
          <w:rFonts w:cs="Tahoma"/>
          <w:sz w:val="22"/>
          <w:szCs w:val="22"/>
        </w:rPr>
      </w:pPr>
    </w:p>
    <w:p w14:paraId="4F024833" w14:textId="77777777" w:rsidR="00DE3C06" w:rsidRPr="000C5171" w:rsidRDefault="00DE3C06" w:rsidP="00DE3C06">
      <w:pPr>
        <w:pStyle w:val="Prrafodelista"/>
        <w:spacing w:line="276" w:lineRule="auto"/>
        <w:ind w:left="1418"/>
        <w:jc w:val="both"/>
        <w:rPr>
          <w:rFonts w:cs="Tahoma"/>
          <w:sz w:val="22"/>
          <w:szCs w:val="22"/>
        </w:rPr>
      </w:pPr>
      <w:r w:rsidRPr="000C5171">
        <w:rPr>
          <w:rFonts w:cs="Tahoma"/>
          <w:sz w:val="22"/>
          <w:szCs w:val="22"/>
        </w:rPr>
        <w:t>La implementación de los PATR revisados y actualizados, para que realmente contribuyan a la construcción de paz, al cierre de brechas socioeconómicas y al bienestar de las comunidades que habitan en los territorios PDET, que es su gran apuesta implica, además de los retos antes señalados, superar enormes y complejos desafíos como los siguientes:</w:t>
      </w:r>
    </w:p>
    <w:p w14:paraId="2598B880" w14:textId="77777777" w:rsidR="00DE3C06" w:rsidRPr="000C5171" w:rsidRDefault="00DE3C06" w:rsidP="00DE3C06">
      <w:pPr>
        <w:pStyle w:val="Prrafodelista"/>
        <w:spacing w:after="0" w:line="276" w:lineRule="auto"/>
        <w:ind w:left="1701" w:hanging="425"/>
        <w:rPr>
          <w:rFonts w:cs="Tahoma"/>
          <w:sz w:val="22"/>
          <w:szCs w:val="22"/>
        </w:rPr>
      </w:pPr>
    </w:p>
    <w:p w14:paraId="6EEAD685" w14:textId="77777777" w:rsidR="00DE3C06" w:rsidRPr="000C5171" w:rsidRDefault="00DE3C06">
      <w:pPr>
        <w:pStyle w:val="Prrafodelista"/>
        <w:numPr>
          <w:ilvl w:val="0"/>
          <w:numId w:val="3"/>
        </w:numPr>
        <w:spacing w:after="0" w:line="276" w:lineRule="auto"/>
        <w:ind w:left="1701" w:hanging="283"/>
        <w:jc w:val="both"/>
        <w:rPr>
          <w:rFonts w:cs="Tahoma"/>
          <w:sz w:val="22"/>
          <w:szCs w:val="22"/>
        </w:rPr>
      </w:pPr>
      <w:r w:rsidRPr="000C5171">
        <w:rPr>
          <w:rFonts w:cs="Tahoma"/>
          <w:sz w:val="22"/>
          <w:szCs w:val="22"/>
        </w:rPr>
        <w:t>Acelerar la implementación del Acuerdo Final de Paz en su conjunto dada la integralidad y carácter holístico del mismo.</w:t>
      </w:r>
    </w:p>
    <w:p w14:paraId="4234AC38" w14:textId="77777777" w:rsidR="00DE3C06" w:rsidRPr="000C5171" w:rsidRDefault="00DE3C06" w:rsidP="00DE3C06">
      <w:pPr>
        <w:pStyle w:val="Prrafodelista"/>
        <w:spacing w:after="0" w:line="276" w:lineRule="auto"/>
        <w:ind w:left="1701" w:hanging="283"/>
        <w:rPr>
          <w:rFonts w:cs="Tahoma"/>
          <w:sz w:val="22"/>
          <w:szCs w:val="22"/>
        </w:rPr>
      </w:pPr>
    </w:p>
    <w:p w14:paraId="79BFBC94" w14:textId="77777777" w:rsidR="00DE3C06" w:rsidRPr="000C5171" w:rsidRDefault="00DE3C06">
      <w:pPr>
        <w:pStyle w:val="Prrafodelista"/>
        <w:numPr>
          <w:ilvl w:val="0"/>
          <w:numId w:val="3"/>
        </w:numPr>
        <w:spacing w:after="0" w:line="276" w:lineRule="auto"/>
        <w:ind w:left="1701" w:hanging="283"/>
        <w:jc w:val="both"/>
        <w:rPr>
          <w:rFonts w:cs="Tahoma"/>
          <w:sz w:val="22"/>
          <w:szCs w:val="22"/>
        </w:rPr>
      </w:pPr>
      <w:r w:rsidRPr="000C5171">
        <w:rPr>
          <w:rFonts w:cs="Tahoma"/>
          <w:sz w:val="22"/>
          <w:szCs w:val="22"/>
        </w:rPr>
        <w:t>Conseguir que la implementación del PATR revisado y actualizado, en cada subregión, sea el resultado de un permanente ejercicio de concurrencia de capacidades institucionales y financieras de los actores nacionales y territoriales, públicos, privados, comunitarios y de la cooperación internacional, basado en los principios de participación incidente y los enfoques diferenciales étnico, reparador, de género, territorial y del campesinado como sujeto de especial protección constitucional.</w:t>
      </w:r>
    </w:p>
    <w:p w14:paraId="4BB26A9B" w14:textId="77777777" w:rsidR="00DE3C06" w:rsidRPr="000C5171" w:rsidRDefault="00DE3C06" w:rsidP="00DE3C06">
      <w:pPr>
        <w:pStyle w:val="Prrafodelista"/>
        <w:spacing w:line="276" w:lineRule="auto"/>
        <w:ind w:left="1701" w:hanging="283"/>
        <w:rPr>
          <w:rFonts w:cs="Tahoma"/>
          <w:sz w:val="22"/>
          <w:szCs w:val="22"/>
        </w:rPr>
      </w:pPr>
    </w:p>
    <w:p w14:paraId="16B0AB6E" w14:textId="77777777" w:rsidR="00DE3C06" w:rsidRPr="000C5171" w:rsidRDefault="00DE3C06">
      <w:pPr>
        <w:pStyle w:val="Prrafodelista"/>
        <w:numPr>
          <w:ilvl w:val="0"/>
          <w:numId w:val="3"/>
        </w:numPr>
        <w:spacing w:after="0" w:line="276" w:lineRule="auto"/>
        <w:ind w:left="1701" w:hanging="283"/>
        <w:jc w:val="both"/>
        <w:rPr>
          <w:rFonts w:cs="Tahoma"/>
          <w:sz w:val="22"/>
          <w:szCs w:val="22"/>
        </w:rPr>
      </w:pPr>
      <w:r w:rsidRPr="000C5171">
        <w:rPr>
          <w:rFonts w:cs="Tahoma"/>
          <w:sz w:val="22"/>
          <w:szCs w:val="22"/>
        </w:rPr>
        <w:t>Construir y/o consolidar escenarios y mecanismos de articulación interinstitucional para la implementación de los PATR revisados y actualizados como los contemplados en la Estrategia Territorio-Nación-Territorio, que promueve la ART, los Acuerdos de Gestión, los Pactos Territoriales y las Alianzas Publico-Privadas-Comunitarios, entre otros.</w:t>
      </w:r>
    </w:p>
    <w:p w14:paraId="12AD5CC0" w14:textId="77777777" w:rsidR="00DE3C06" w:rsidRPr="000C5171" w:rsidRDefault="00DE3C06" w:rsidP="00DE3C06">
      <w:pPr>
        <w:pStyle w:val="Prrafodelista"/>
        <w:spacing w:line="276" w:lineRule="auto"/>
        <w:ind w:left="1701" w:hanging="283"/>
        <w:rPr>
          <w:rFonts w:cs="Tahoma"/>
          <w:sz w:val="22"/>
          <w:szCs w:val="22"/>
        </w:rPr>
      </w:pPr>
    </w:p>
    <w:p w14:paraId="1FCBF7A9" w14:textId="77777777" w:rsidR="00DE3C06" w:rsidRPr="000C5171" w:rsidRDefault="00DE3C06">
      <w:pPr>
        <w:pStyle w:val="Prrafodelista"/>
        <w:numPr>
          <w:ilvl w:val="0"/>
          <w:numId w:val="3"/>
        </w:numPr>
        <w:spacing w:after="0" w:line="276" w:lineRule="auto"/>
        <w:ind w:left="1701" w:hanging="283"/>
        <w:jc w:val="both"/>
        <w:rPr>
          <w:rFonts w:cs="Tahoma"/>
          <w:sz w:val="22"/>
          <w:szCs w:val="22"/>
        </w:rPr>
      </w:pPr>
      <w:r w:rsidRPr="000C5171">
        <w:rPr>
          <w:rFonts w:cs="Tahoma"/>
          <w:sz w:val="22"/>
          <w:szCs w:val="22"/>
        </w:rPr>
        <w:t>Adelantar una pedagogía asertiva y una amplia divulgación del contenido de los PATR revisados y actualizados y rendir cuentas periódicas y públicas sobre el avance de su implementación.</w:t>
      </w:r>
    </w:p>
    <w:p w14:paraId="6EE8D3ED" w14:textId="77777777" w:rsidR="00DE3C06" w:rsidRPr="000C5171" w:rsidRDefault="00DE3C06" w:rsidP="00DE3C06">
      <w:pPr>
        <w:pStyle w:val="Prrafodelista"/>
        <w:spacing w:after="0" w:line="276" w:lineRule="auto"/>
        <w:ind w:left="1701" w:hanging="283"/>
        <w:rPr>
          <w:rFonts w:cs="Tahoma"/>
          <w:sz w:val="22"/>
          <w:szCs w:val="22"/>
        </w:rPr>
      </w:pPr>
    </w:p>
    <w:p w14:paraId="75171A83" w14:textId="77777777" w:rsidR="00DE3C06" w:rsidRPr="000C5171" w:rsidRDefault="00DE3C06">
      <w:pPr>
        <w:pStyle w:val="Prrafodelista"/>
        <w:numPr>
          <w:ilvl w:val="0"/>
          <w:numId w:val="3"/>
        </w:numPr>
        <w:spacing w:after="0" w:line="276" w:lineRule="auto"/>
        <w:ind w:left="1701" w:hanging="283"/>
        <w:jc w:val="both"/>
        <w:rPr>
          <w:rFonts w:cs="Tahoma"/>
          <w:sz w:val="22"/>
          <w:szCs w:val="22"/>
        </w:rPr>
      </w:pPr>
      <w:r w:rsidRPr="000C5171">
        <w:rPr>
          <w:rFonts w:cs="Tahoma"/>
          <w:sz w:val="22"/>
          <w:szCs w:val="22"/>
        </w:rPr>
        <w:t>Incidir en el proceso de construcción y aprobación de los planes nacionales de desarrollo y los planes plurianuales de inversiones, de los períodos 2026-2030, 2030-2034 y 2034-2038, buscando la incorporación, en lo de su competencia, de programas, subprogramas y proyectos de los PATR revisados y actualizados.</w:t>
      </w:r>
    </w:p>
    <w:p w14:paraId="126117B1" w14:textId="77777777" w:rsidR="00DE3C06" w:rsidRPr="000C5171" w:rsidRDefault="00DE3C06" w:rsidP="00DE3C06">
      <w:pPr>
        <w:pStyle w:val="Prrafodelista"/>
        <w:spacing w:line="276" w:lineRule="auto"/>
        <w:rPr>
          <w:rFonts w:cs="Tahoma"/>
          <w:sz w:val="22"/>
          <w:szCs w:val="22"/>
        </w:rPr>
      </w:pPr>
    </w:p>
    <w:p w14:paraId="31D69DC5" w14:textId="77777777" w:rsidR="00DE3C06" w:rsidRPr="000C5171" w:rsidRDefault="00DE3C06" w:rsidP="00DE3C06">
      <w:pPr>
        <w:pStyle w:val="Prrafodelista"/>
        <w:spacing w:after="0" w:line="276" w:lineRule="auto"/>
        <w:ind w:left="1341"/>
        <w:jc w:val="both"/>
        <w:rPr>
          <w:rFonts w:cs="Tahoma"/>
          <w:sz w:val="22"/>
          <w:szCs w:val="22"/>
        </w:rPr>
      </w:pPr>
      <w:r w:rsidRPr="000C5171">
        <w:rPr>
          <w:rFonts w:cs="Tahoma"/>
          <w:sz w:val="22"/>
          <w:szCs w:val="22"/>
        </w:rPr>
        <w:t>El objetivo fundamental del proceso de incidencia será lograr el efectivo cumplimiento de los señalado en el artículo 3º.  del acto legislativo 01 de 2016, que dispuso que el Gobierno nacional durante los próximos veinte años incluirá en el Plan Plurianual de Inversiones del Plan Nacional de Desarrollo, un componente específico para la paz priorizando los ciudadanos y las entidades territoriales más afectadas por la pobreza rural, las economías ilegales, la debilidad institucional y el conflicto armando. Estos recursos serán adicionales a las inversiones ya programadas por las entidades públicas del orden nacional y territorial y se orientarán a cerrar las brechas sociales, económicas e institucionales en dichas entidades territoriales.</w:t>
      </w:r>
    </w:p>
    <w:p w14:paraId="116F5873" w14:textId="77777777" w:rsidR="00DE3C06" w:rsidRPr="000C5171" w:rsidRDefault="00DE3C06" w:rsidP="00DE3C06">
      <w:pPr>
        <w:pStyle w:val="Prrafodelista"/>
        <w:spacing w:after="0" w:line="276" w:lineRule="auto"/>
        <w:ind w:left="360"/>
        <w:rPr>
          <w:rFonts w:cs="Tahoma"/>
          <w:sz w:val="22"/>
          <w:szCs w:val="22"/>
        </w:rPr>
      </w:pPr>
    </w:p>
    <w:p w14:paraId="77A0EAFF" w14:textId="77777777" w:rsidR="00DE3C06" w:rsidRPr="000C5171" w:rsidRDefault="00DE3C06">
      <w:pPr>
        <w:pStyle w:val="Prrafodelista"/>
        <w:numPr>
          <w:ilvl w:val="0"/>
          <w:numId w:val="3"/>
        </w:numPr>
        <w:spacing w:after="0" w:line="276" w:lineRule="auto"/>
        <w:ind w:left="1701"/>
        <w:jc w:val="both"/>
        <w:rPr>
          <w:rFonts w:cs="Tahoma"/>
          <w:sz w:val="22"/>
          <w:szCs w:val="22"/>
        </w:rPr>
      </w:pPr>
      <w:r w:rsidRPr="000C5171">
        <w:rPr>
          <w:rFonts w:cs="Tahoma"/>
          <w:sz w:val="22"/>
          <w:szCs w:val="22"/>
        </w:rPr>
        <w:t>Armonizar la implementación de los PATR revisados y actualizados con la implementación de los Planes Nacionales Sectoriales, particularmente los de la Reforma Rural Integral, contemplados en el punto 1.3 del Acuerdo de Paz.</w:t>
      </w:r>
    </w:p>
    <w:p w14:paraId="736433D1" w14:textId="77777777" w:rsidR="00DE3C06" w:rsidRPr="000C5171" w:rsidRDefault="00DE3C06" w:rsidP="00DE3C06">
      <w:pPr>
        <w:pStyle w:val="Prrafodelista"/>
        <w:spacing w:line="276" w:lineRule="auto"/>
        <w:ind w:left="1701"/>
        <w:rPr>
          <w:rFonts w:cs="Tahoma"/>
          <w:sz w:val="22"/>
          <w:szCs w:val="22"/>
        </w:rPr>
      </w:pPr>
    </w:p>
    <w:p w14:paraId="6624CA71" w14:textId="77777777" w:rsidR="00DE3C06" w:rsidRPr="000C5171" w:rsidRDefault="00DE3C06">
      <w:pPr>
        <w:pStyle w:val="Prrafodelista"/>
        <w:numPr>
          <w:ilvl w:val="0"/>
          <w:numId w:val="3"/>
        </w:numPr>
        <w:spacing w:line="276" w:lineRule="auto"/>
        <w:ind w:left="1701"/>
        <w:jc w:val="both"/>
        <w:rPr>
          <w:rFonts w:cs="Tahoma"/>
          <w:sz w:val="22"/>
          <w:szCs w:val="22"/>
        </w:rPr>
      </w:pPr>
      <w:r w:rsidRPr="000C5171">
        <w:rPr>
          <w:rFonts w:cs="Tahoma"/>
          <w:sz w:val="22"/>
          <w:szCs w:val="22"/>
        </w:rPr>
        <w:t>Participar e incidir en la construcción e implementación de los PIRC y los PRR propendiendo por su articulación con PATR revisados y actualizados.</w:t>
      </w:r>
    </w:p>
    <w:p w14:paraId="2C773216" w14:textId="77777777" w:rsidR="00DE3C06" w:rsidRPr="000C5171" w:rsidRDefault="00DE3C06" w:rsidP="00DE3C06">
      <w:pPr>
        <w:pStyle w:val="Prrafodelista"/>
        <w:spacing w:line="276" w:lineRule="auto"/>
        <w:ind w:left="1701"/>
        <w:rPr>
          <w:rFonts w:cs="Tahoma"/>
          <w:sz w:val="22"/>
          <w:szCs w:val="22"/>
        </w:rPr>
      </w:pPr>
    </w:p>
    <w:p w14:paraId="73C93215" w14:textId="77777777" w:rsidR="00DE3C06" w:rsidRPr="000C5171" w:rsidRDefault="00DE3C06">
      <w:pPr>
        <w:pStyle w:val="Prrafodelista"/>
        <w:numPr>
          <w:ilvl w:val="0"/>
          <w:numId w:val="3"/>
        </w:numPr>
        <w:spacing w:after="0" w:line="276" w:lineRule="auto"/>
        <w:ind w:left="1701" w:hanging="283"/>
        <w:jc w:val="both"/>
        <w:rPr>
          <w:rFonts w:cs="Tahoma"/>
          <w:sz w:val="22"/>
          <w:szCs w:val="22"/>
        </w:rPr>
      </w:pPr>
      <w:r w:rsidRPr="000C5171">
        <w:rPr>
          <w:rFonts w:cs="Tahoma"/>
          <w:sz w:val="22"/>
          <w:szCs w:val="22"/>
        </w:rPr>
        <w:t xml:space="preserve">Incidir en los presupuestos del año 2027 y en el proceso de construcción y aprobación de los planes de desarrollo territorial y plurianuales de inversiones, de los períodos 2028-2031, 2032-2035 y 2036-2039, buscando </w:t>
      </w:r>
      <w:r w:rsidRPr="000C5171">
        <w:rPr>
          <w:rFonts w:cs="Tahoma"/>
          <w:sz w:val="22"/>
          <w:szCs w:val="22"/>
        </w:rPr>
        <w:lastRenderedPageBreak/>
        <w:t>la incorporación, en lo de su competencia, de programas, subprogramas y proyectos de los PATR revisados y actualizados. El objetivo fundamental del proceso de incidencia será lograr el efectivo cumplimiento de lo señalado en el citado artículo 3º. del acto legislativo 01 de 2016 en lo concerniente a las entidades territoriales.</w:t>
      </w:r>
    </w:p>
    <w:p w14:paraId="08934366" w14:textId="77777777" w:rsidR="00DE3C06" w:rsidRPr="000C5171" w:rsidRDefault="00DE3C06" w:rsidP="00DE3C06">
      <w:pPr>
        <w:pStyle w:val="Prrafodelista"/>
        <w:spacing w:line="276" w:lineRule="auto"/>
        <w:ind w:left="1701"/>
        <w:rPr>
          <w:rFonts w:cs="Tahoma"/>
          <w:sz w:val="22"/>
          <w:szCs w:val="22"/>
        </w:rPr>
      </w:pPr>
    </w:p>
    <w:p w14:paraId="148D4599" w14:textId="77777777" w:rsidR="00DE3C06" w:rsidRPr="000C5171" w:rsidRDefault="00DE3C06">
      <w:pPr>
        <w:pStyle w:val="Prrafodelista"/>
        <w:numPr>
          <w:ilvl w:val="0"/>
          <w:numId w:val="3"/>
        </w:numPr>
        <w:spacing w:after="0" w:line="276" w:lineRule="auto"/>
        <w:ind w:left="1701"/>
        <w:jc w:val="both"/>
        <w:rPr>
          <w:rFonts w:cs="Tahoma"/>
          <w:sz w:val="22"/>
          <w:szCs w:val="22"/>
        </w:rPr>
      </w:pPr>
      <w:r w:rsidRPr="000C5171">
        <w:rPr>
          <w:rFonts w:cs="Tahoma"/>
          <w:sz w:val="22"/>
          <w:szCs w:val="22"/>
        </w:rPr>
        <w:t>Articular la implementación de los PATR revisados y actualizados con los Planes de Ordenamiento Territorial, los planes de los Esquemas Asociativos Territoriales y de las Corporaciones Autónomas Regionales.</w:t>
      </w:r>
    </w:p>
    <w:p w14:paraId="0AB3B223" w14:textId="77777777" w:rsidR="00DE3C06" w:rsidRPr="000C5171" w:rsidRDefault="00DE3C06" w:rsidP="00DE3C06">
      <w:pPr>
        <w:pStyle w:val="Prrafodelista"/>
        <w:spacing w:after="0" w:line="276" w:lineRule="auto"/>
        <w:ind w:left="1701"/>
        <w:rPr>
          <w:rFonts w:cs="Tahoma"/>
          <w:sz w:val="22"/>
          <w:szCs w:val="22"/>
        </w:rPr>
      </w:pPr>
    </w:p>
    <w:p w14:paraId="2AC59AFE" w14:textId="77777777" w:rsidR="00DE3C06" w:rsidRPr="000C5171" w:rsidRDefault="00DE3C06">
      <w:pPr>
        <w:pStyle w:val="Prrafodelista"/>
        <w:numPr>
          <w:ilvl w:val="0"/>
          <w:numId w:val="3"/>
        </w:numPr>
        <w:spacing w:after="0" w:line="276" w:lineRule="auto"/>
        <w:ind w:left="1701"/>
        <w:jc w:val="both"/>
        <w:rPr>
          <w:rFonts w:cs="Tahoma"/>
          <w:sz w:val="22"/>
          <w:szCs w:val="22"/>
        </w:rPr>
      </w:pPr>
      <w:r w:rsidRPr="000C5171">
        <w:rPr>
          <w:rFonts w:cs="Tahoma"/>
          <w:sz w:val="22"/>
          <w:szCs w:val="22"/>
        </w:rPr>
        <w:t>Promover reformas estructurales que garanticen la transparencia y equidad territorial en el proceso de aprobación de proyectos financiados con la asignación de Regalías para la Paz y posibiliten la participación efectiva de las organizaciones étnicas y comunitarias en el mismo.</w:t>
      </w:r>
    </w:p>
    <w:p w14:paraId="79D7D78A" w14:textId="77777777" w:rsidR="00DE3C06" w:rsidRPr="000C5171" w:rsidRDefault="00DE3C06" w:rsidP="00DE3C06">
      <w:pPr>
        <w:pStyle w:val="Prrafodelista"/>
        <w:spacing w:line="276" w:lineRule="auto"/>
        <w:ind w:left="1701"/>
        <w:rPr>
          <w:rFonts w:cs="Tahoma"/>
          <w:sz w:val="22"/>
          <w:szCs w:val="22"/>
        </w:rPr>
      </w:pPr>
    </w:p>
    <w:p w14:paraId="6874BE18" w14:textId="77777777" w:rsidR="00DE3C06" w:rsidRPr="000C5171" w:rsidRDefault="00DE3C06">
      <w:pPr>
        <w:pStyle w:val="Prrafodelista"/>
        <w:numPr>
          <w:ilvl w:val="0"/>
          <w:numId w:val="3"/>
        </w:numPr>
        <w:spacing w:after="0" w:line="276" w:lineRule="auto"/>
        <w:ind w:left="1701"/>
        <w:jc w:val="both"/>
        <w:rPr>
          <w:rFonts w:cs="Tahoma"/>
          <w:sz w:val="22"/>
          <w:szCs w:val="22"/>
        </w:rPr>
      </w:pPr>
      <w:r w:rsidRPr="000C5171">
        <w:rPr>
          <w:rFonts w:cs="Tahoma"/>
          <w:sz w:val="22"/>
          <w:szCs w:val="22"/>
        </w:rPr>
        <w:t xml:space="preserve">Promover la participación de los territorios PDET en la producción de energías limpias y en los beneficios económicos que deben generar la preservación de los recursos ambientales por parte de sus comunidades, como una manera de compensar la disminución de las regalías que necesariamente conlleva el proceso de transición energética. </w:t>
      </w:r>
    </w:p>
    <w:p w14:paraId="61AD8D63" w14:textId="77777777" w:rsidR="00DE3C06" w:rsidRPr="000C5171" w:rsidRDefault="00DE3C06" w:rsidP="00DE3C06">
      <w:pPr>
        <w:pStyle w:val="Prrafodelista"/>
        <w:spacing w:line="276" w:lineRule="auto"/>
        <w:ind w:left="1701"/>
        <w:rPr>
          <w:rFonts w:cs="Tahoma"/>
          <w:sz w:val="22"/>
          <w:szCs w:val="22"/>
        </w:rPr>
      </w:pPr>
    </w:p>
    <w:p w14:paraId="5A15F3AB" w14:textId="77777777" w:rsidR="00DE3C06" w:rsidRPr="000C5171" w:rsidRDefault="00DE3C06">
      <w:pPr>
        <w:pStyle w:val="Prrafodelista"/>
        <w:numPr>
          <w:ilvl w:val="0"/>
          <w:numId w:val="3"/>
        </w:numPr>
        <w:spacing w:line="276" w:lineRule="auto"/>
        <w:ind w:left="1701"/>
        <w:jc w:val="both"/>
        <w:rPr>
          <w:rFonts w:cs="Tahoma"/>
          <w:sz w:val="22"/>
          <w:szCs w:val="22"/>
        </w:rPr>
      </w:pPr>
      <w:r w:rsidRPr="000C5171">
        <w:rPr>
          <w:rFonts w:cs="Tahoma"/>
          <w:sz w:val="22"/>
          <w:szCs w:val="22"/>
          <w:lang w:val="es-ES_tradnl"/>
        </w:rPr>
        <w:t>Normatizar legalmente que el cupo para obras por impuestos se incremente al menos en un porcentaje igual al crecimiento del PIB e incentivar un cubrimiento territorial más equitativo.</w:t>
      </w:r>
    </w:p>
    <w:p w14:paraId="1731C5C2" w14:textId="77777777" w:rsidR="00DE3C06" w:rsidRPr="000C5171" w:rsidRDefault="00DE3C06" w:rsidP="00DE3C06">
      <w:pPr>
        <w:pStyle w:val="Prrafodelista"/>
        <w:spacing w:line="276" w:lineRule="auto"/>
        <w:ind w:left="1701"/>
        <w:rPr>
          <w:rFonts w:cs="Tahoma"/>
          <w:sz w:val="22"/>
          <w:szCs w:val="22"/>
        </w:rPr>
      </w:pPr>
    </w:p>
    <w:p w14:paraId="6B7C66C3" w14:textId="77777777" w:rsidR="00DE3C06" w:rsidRPr="000C5171" w:rsidRDefault="00DE3C06">
      <w:pPr>
        <w:pStyle w:val="Prrafodelista"/>
        <w:numPr>
          <w:ilvl w:val="0"/>
          <w:numId w:val="3"/>
        </w:numPr>
        <w:spacing w:line="276" w:lineRule="auto"/>
        <w:ind w:left="1701"/>
        <w:jc w:val="both"/>
        <w:rPr>
          <w:rFonts w:cs="Tahoma"/>
          <w:sz w:val="22"/>
          <w:szCs w:val="22"/>
        </w:rPr>
      </w:pPr>
      <w:r w:rsidRPr="000C5171">
        <w:rPr>
          <w:rFonts w:cs="Tahoma"/>
          <w:sz w:val="22"/>
          <w:szCs w:val="22"/>
        </w:rPr>
        <w:t>Incidir en el trámite de Ley de competencias, con el fin de que se garantice la aplicación de los criterios de distribución territorial del Sistema General de Participaciones (SGP) establecidos en el acto legislativo 03 de 2024 y que benefician a los municipios PDET.</w:t>
      </w:r>
    </w:p>
    <w:p w14:paraId="1E7F2507" w14:textId="77777777" w:rsidR="00DE3C06" w:rsidRPr="000C5171" w:rsidRDefault="00DE3C06" w:rsidP="00DE3C06">
      <w:pPr>
        <w:pStyle w:val="Prrafodelista"/>
        <w:spacing w:line="276" w:lineRule="auto"/>
        <w:ind w:left="1701"/>
        <w:rPr>
          <w:rFonts w:cs="Tahoma"/>
          <w:sz w:val="22"/>
          <w:szCs w:val="22"/>
        </w:rPr>
      </w:pPr>
    </w:p>
    <w:p w14:paraId="0EBC3D76" w14:textId="77777777" w:rsidR="00DE3C06" w:rsidRPr="000C5171" w:rsidRDefault="00DE3C06">
      <w:pPr>
        <w:pStyle w:val="Prrafodelista"/>
        <w:numPr>
          <w:ilvl w:val="0"/>
          <w:numId w:val="3"/>
        </w:numPr>
        <w:spacing w:line="276" w:lineRule="auto"/>
        <w:ind w:left="1701"/>
        <w:jc w:val="both"/>
        <w:rPr>
          <w:rFonts w:cs="Tahoma"/>
          <w:sz w:val="22"/>
          <w:szCs w:val="22"/>
        </w:rPr>
      </w:pPr>
      <w:r w:rsidRPr="000C5171">
        <w:rPr>
          <w:rFonts w:cs="Tahoma"/>
          <w:sz w:val="22"/>
          <w:szCs w:val="22"/>
        </w:rPr>
        <w:t>Articular la implementación de los PATR revisados y actualizados con el Sistema Nacional de Cooperación Internacional (SNCI) para promover estrategias de diversificación de esta fuente.</w:t>
      </w:r>
    </w:p>
    <w:p w14:paraId="668E8905" w14:textId="77777777" w:rsidR="00DE3C06" w:rsidRPr="000C5171" w:rsidRDefault="00DE3C06" w:rsidP="00DE3C06">
      <w:pPr>
        <w:pStyle w:val="Prrafodelista"/>
        <w:spacing w:line="276" w:lineRule="auto"/>
        <w:ind w:left="1701"/>
        <w:rPr>
          <w:rFonts w:cs="Tahoma"/>
          <w:sz w:val="22"/>
          <w:szCs w:val="22"/>
        </w:rPr>
      </w:pPr>
    </w:p>
    <w:p w14:paraId="052B64A7" w14:textId="77777777" w:rsidR="00DE3C06" w:rsidRPr="000C5171" w:rsidRDefault="00DE3C06">
      <w:pPr>
        <w:pStyle w:val="Prrafodelista"/>
        <w:numPr>
          <w:ilvl w:val="0"/>
          <w:numId w:val="3"/>
        </w:numPr>
        <w:spacing w:line="276" w:lineRule="auto"/>
        <w:ind w:left="1701"/>
        <w:jc w:val="both"/>
        <w:rPr>
          <w:rFonts w:cs="Tahoma"/>
          <w:sz w:val="22"/>
          <w:szCs w:val="22"/>
        </w:rPr>
      </w:pPr>
      <w:r w:rsidRPr="000C5171">
        <w:rPr>
          <w:rFonts w:cs="Tahoma"/>
          <w:sz w:val="22"/>
          <w:szCs w:val="22"/>
        </w:rPr>
        <w:t xml:space="preserve">Rediseñar la arquitectura institucional para la implementación del Acuerdo Final de Paz en general y particular de los PDET. El rediseño debe considerar, entre otros componentes, el funcionamiento del Gabinete de Paz, el restablecimiento de la Alta Consejería para la Implementación del Acuerdo Final de Paz, el fortalecimiento de instancias y espacios de articulación </w:t>
      </w:r>
      <w:r w:rsidRPr="000C5171">
        <w:rPr>
          <w:rFonts w:cs="Tahoma"/>
          <w:sz w:val="22"/>
          <w:szCs w:val="22"/>
        </w:rPr>
        <w:lastRenderedPageBreak/>
        <w:t>interinstitucional y la restructuración de la ART para que sus funciones y procesos misionales estén acordes con las demandas de los PATR revisados y actualizados.</w:t>
      </w:r>
    </w:p>
    <w:p w14:paraId="6CC11A5B" w14:textId="77777777" w:rsidR="00DE3C06" w:rsidRPr="000C5171" w:rsidRDefault="00DE3C06" w:rsidP="00DE3C06">
      <w:pPr>
        <w:pStyle w:val="Prrafodelista"/>
        <w:spacing w:line="276" w:lineRule="auto"/>
        <w:ind w:left="1701"/>
        <w:rPr>
          <w:rFonts w:cs="Tahoma"/>
          <w:sz w:val="22"/>
          <w:szCs w:val="22"/>
        </w:rPr>
      </w:pPr>
    </w:p>
    <w:p w14:paraId="471CFE08" w14:textId="77777777" w:rsidR="00DE3C06" w:rsidRPr="000C5171" w:rsidRDefault="00DE3C06">
      <w:pPr>
        <w:pStyle w:val="Prrafodelista"/>
        <w:numPr>
          <w:ilvl w:val="0"/>
          <w:numId w:val="3"/>
        </w:numPr>
        <w:spacing w:line="276" w:lineRule="auto"/>
        <w:ind w:left="1701"/>
        <w:jc w:val="both"/>
        <w:rPr>
          <w:rFonts w:cs="Tahoma"/>
          <w:sz w:val="22"/>
          <w:szCs w:val="22"/>
        </w:rPr>
      </w:pPr>
      <w:r w:rsidRPr="000C5171">
        <w:rPr>
          <w:rFonts w:cs="Tahoma"/>
          <w:sz w:val="22"/>
          <w:szCs w:val="22"/>
        </w:rPr>
        <w:t>Transitar del sistema de información basado en el seguimiento a la activación de iniciativas comunitarias a uno fundamentado en el avance de indicadores, metas y proyectos de los capítulos interculturales y étnicos de programas y proyectos contemplados en los PATR revisados y actualizados.</w:t>
      </w:r>
    </w:p>
    <w:p w14:paraId="3E4A652E" w14:textId="77777777" w:rsidR="00DE3C06" w:rsidRPr="000C5171" w:rsidRDefault="00DE3C06" w:rsidP="00DE3C06">
      <w:pPr>
        <w:pStyle w:val="Prrafodelista"/>
        <w:spacing w:line="276" w:lineRule="auto"/>
        <w:ind w:left="1701"/>
        <w:rPr>
          <w:rFonts w:cs="Tahoma"/>
          <w:sz w:val="22"/>
          <w:szCs w:val="22"/>
        </w:rPr>
      </w:pPr>
    </w:p>
    <w:p w14:paraId="47185B3F" w14:textId="77777777" w:rsidR="00DE3C06" w:rsidRPr="000C5171" w:rsidRDefault="00DE3C06">
      <w:pPr>
        <w:pStyle w:val="Prrafodelista"/>
        <w:numPr>
          <w:ilvl w:val="0"/>
          <w:numId w:val="3"/>
        </w:numPr>
        <w:spacing w:line="276" w:lineRule="auto"/>
        <w:ind w:left="1701"/>
        <w:jc w:val="both"/>
        <w:rPr>
          <w:rFonts w:cs="Tahoma"/>
          <w:sz w:val="22"/>
          <w:szCs w:val="22"/>
        </w:rPr>
      </w:pPr>
      <w:r w:rsidRPr="000C5171">
        <w:rPr>
          <w:rFonts w:cs="Tahoma"/>
          <w:sz w:val="22"/>
          <w:szCs w:val="22"/>
        </w:rPr>
        <w:t>Establecer mecanismos de articulación y coordinación institucional con los diferentes sectores nacionales para fortalecer y complementar las mediciones que permitan realizar un seguimiento efectivo a los resultados de transformación y cierre de brechas, planteados en los Capítulos de Programas y Proyectos de los PATR revisados y actualizados.</w:t>
      </w:r>
    </w:p>
    <w:p w14:paraId="0C7148F2" w14:textId="77777777" w:rsidR="00DE3C06" w:rsidRPr="000C5171" w:rsidRDefault="00DE3C06" w:rsidP="00DE3C06">
      <w:pPr>
        <w:pStyle w:val="Prrafodelista"/>
        <w:spacing w:line="276" w:lineRule="auto"/>
        <w:ind w:left="1701"/>
        <w:rPr>
          <w:rFonts w:cs="Tahoma"/>
          <w:sz w:val="22"/>
          <w:szCs w:val="22"/>
        </w:rPr>
      </w:pPr>
    </w:p>
    <w:p w14:paraId="71082335" w14:textId="77777777" w:rsidR="00DE3C06" w:rsidRPr="000C5171" w:rsidRDefault="00DE3C06">
      <w:pPr>
        <w:pStyle w:val="Prrafodelista"/>
        <w:numPr>
          <w:ilvl w:val="0"/>
          <w:numId w:val="3"/>
        </w:numPr>
        <w:spacing w:line="276" w:lineRule="auto"/>
        <w:ind w:left="1701"/>
        <w:jc w:val="both"/>
        <w:rPr>
          <w:rFonts w:cs="Tahoma"/>
          <w:sz w:val="22"/>
          <w:szCs w:val="22"/>
        </w:rPr>
      </w:pPr>
      <w:r w:rsidRPr="000C5171">
        <w:rPr>
          <w:rFonts w:cs="Tahoma"/>
          <w:sz w:val="22"/>
          <w:szCs w:val="22"/>
        </w:rPr>
        <w:t>Adoptar e implementar un programa de fortalecimiento de capacidades comunitarias e institucionales establecido en el artículo 5º. De la ley 2565 de 2026.</w:t>
      </w:r>
    </w:p>
    <w:p w14:paraId="603BAA67" w14:textId="77777777" w:rsidR="00DE3C06" w:rsidRPr="000C5171" w:rsidRDefault="00DE3C06" w:rsidP="00DE3C06">
      <w:pPr>
        <w:pStyle w:val="Prrafodelista"/>
        <w:spacing w:line="276" w:lineRule="auto"/>
        <w:ind w:left="1701"/>
        <w:rPr>
          <w:rFonts w:cs="Tahoma"/>
          <w:sz w:val="22"/>
          <w:szCs w:val="22"/>
        </w:rPr>
      </w:pPr>
    </w:p>
    <w:p w14:paraId="6C051EE3" w14:textId="77777777" w:rsidR="00DE3C06" w:rsidRPr="000C5171" w:rsidRDefault="00DE3C06">
      <w:pPr>
        <w:pStyle w:val="Prrafodelista"/>
        <w:numPr>
          <w:ilvl w:val="0"/>
          <w:numId w:val="3"/>
        </w:numPr>
        <w:spacing w:line="276" w:lineRule="auto"/>
        <w:ind w:left="1701"/>
        <w:jc w:val="both"/>
        <w:rPr>
          <w:rFonts w:cs="Tahoma"/>
          <w:sz w:val="22"/>
          <w:szCs w:val="22"/>
        </w:rPr>
      </w:pPr>
      <w:r w:rsidRPr="000C5171">
        <w:rPr>
          <w:rFonts w:cs="Tahoma"/>
          <w:sz w:val="22"/>
          <w:szCs w:val="22"/>
        </w:rPr>
        <w:t>Concertar la consolidación y ejecución de estrategias encaminadas a superar el rezago en la implementación de los PDET en territorios étnicos.</w:t>
      </w:r>
    </w:p>
    <w:p w14:paraId="1B7ED2C5" w14:textId="77777777" w:rsidR="00DE3C06" w:rsidRPr="000C5171" w:rsidRDefault="00DE3C06" w:rsidP="00DE3C06">
      <w:pPr>
        <w:spacing w:line="276" w:lineRule="auto"/>
        <w:jc w:val="both"/>
        <w:rPr>
          <w:rFonts w:cs="Tahoma"/>
          <w:color w:val="FE1B7B"/>
          <w:sz w:val="22"/>
          <w:szCs w:val="22"/>
        </w:rPr>
      </w:pPr>
    </w:p>
    <w:p w14:paraId="6B687D0C" w14:textId="77777777" w:rsidR="00DE3C06" w:rsidRPr="000C5171" w:rsidRDefault="00DE3C06">
      <w:pPr>
        <w:pStyle w:val="Ttulo1"/>
        <w:numPr>
          <w:ilvl w:val="0"/>
          <w:numId w:val="2"/>
        </w:numPr>
        <w:spacing w:line="276" w:lineRule="auto"/>
        <w:ind w:left="567" w:hanging="567"/>
        <w:rPr>
          <w:rFonts w:cs="Tahoma"/>
        </w:rPr>
      </w:pPr>
      <w:bookmarkStart w:id="15" w:name="_Toc234168080"/>
      <w:r w:rsidRPr="000C5171">
        <w:rPr>
          <w:rFonts w:cs="Tahoma"/>
        </w:rPr>
        <w:t>PLAN NACIONAL DE DESARROLLO 2022-2026, POLÍTICAS DE LARGO PLAZO Y PROYECTOS DE IMPORTANCIA ESTRATÉGICA</w:t>
      </w:r>
      <w:bookmarkEnd w:id="15"/>
      <w:r w:rsidRPr="000C5171">
        <w:rPr>
          <w:rFonts w:cs="Tahoma"/>
        </w:rPr>
        <w:tab/>
      </w:r>
      <w:r w:rsidRPr="000C5171">
        <w:rPr>
          <w:rFonts w:cs="Tahoma"/>
        </w:rPr>
        <w:tab/>
      </w:r>
    </w:p>
    <w:p w14:paraId="22921904" w14:textId="77777777" w:rsidR="00DE3C06" w:rsidRPr="000C5171" w:rsidRDefault="00DE3C06" w:rsidP="00DE3C06">
      <w:pPr>
        <w:pStyle w:val="Ttulo1"/>
        <w:spacing w:line="276" w:lineRule="auto"/>
        <w:rPr>
          <w:rStyle w:val="SubttuloCar"/>
        </w:rPr>
      </w:pPr>
      <w:r w:rsidRPr="000C5171">
        <w:rPr>
          <w:rStyle w:val="SubttuloCar"/>
          <w:rFonts w:cs="Tahoma"/>
        </w:rPr>
        <w:t xml:space="preserve">   </w:t>
      </w:r>
      <w:bookmarkStart w:id="16" w:name="_Toc234168081"/>
      <w:r w:rsidRPr="000C5171">
        <w:rPr>
          <w:rStyle w:val="SubttuloCar"/>
        </w:rPr>
        <w:t>6.1 Plan Nacional de Desarrollo 2022-2026</w:t>
      </w:r>
      <w:bookmarkEnd w:id="16"/>
      <w:r w:rsidRPr="000C5171">
        <w:rPr>
          <w:rStyle w:val="SubttuloCar"/>
        </w:rPr>
        <w:t xml:space="preserve"> </w:t>
      </w:r>
      <w:r w:rsidRPr="000C5171">
        <w:rPr>
          <w:rStyle w:val="SubttuloCar"/>
        </w:rPr>
        <w:tab/>
      </w:r>
    </w:p>
    <w:p w14:paraId="59D67868" w14:textId="77777777" w:rsidR="00DE3C06" w:rsidRPr="000C5171" w:rsidRDefault="00DE3C06" w:rsidP="00DE3C06">
      <w:pPr>
        <w:pStyle w:val="Prrafodelista"/>
        <w:spacing w:line="276" w:lineRule="auto"/>
        <w:ind w:left="0"/>
        <w:jc w:val="both"/>
        <w:rPr>
          <w:rFonts w:cs="Tahoma"/>
          <w:strike/>
          <w:sz w:val="22"/>
          <w:szCs w:val="22"/>
        </w:rPr>
      </w:pPr>
    </w:p>
    <w:p w14:paraId="13D61257" w14:textId="77777777" w:rsidR="00DE3C06" w:rsidRPr="000C5171" w:rsidRDefault="00DE3C06" w:rsidP="00DE3C06">
      <w:pPr>
        <w:pStyle w:val="Prrafodelista"/>
        <w:spacing w:line="276" w:lineRule="auto"/>
        <w:ind w:left="0"/>
        <w:jc w:val="both"/>
        <w:rPr>
          <w:rFonts w:cs="Tahoma"/>
          <w:sz w:val="22"/>
          <w:szCs w:val="22"/>
        </w:rPr>
      </w:pPr>
      <w:r w:rsidRPr="000C5171">
        <w:rPr>
          <w:rFonts w:cs="Tahoma"/>
          <w:sz w:val="22"/>
          <w:szCs w:val="22"/>
        </w:rPr>
        <w:t xml:space="preserve">En el marco del Plan Nacional de Desarrollo 2022-2026, la ART tiene los siguientes dos (2) indicadores: </w:t>
      </w:r>
      <w:r w:rsidRPr="000C5171">
        <w:rPr>
          <w:rFonts w:cs="Tahoma"/>
          <w:b/>
          <w:bCs/>
          <w:i/>
          <w:iCs/>
          <w:sz w:val="22"/>
          <w:szCs w:val="22"/>
        </w:rPr>
        <w:t>I) ID187 – Proyectos de los PATR con enfoque de género o étnico implementados</w:t>
      </w:r>
      <w:r w:rsidRPr="000C5171">
        <w:rPr>
          <w:rFonts w:cs="Tahoma"/>
          <w:sz w:val="22"/>
          <w:szCs w:val="22"/>
        </w:rPr>
        <w:t>, que busca medir los proyectos que contribuyen a la transformación territorial y al cierre de brechas en territorios étnicos de los PDET. La línea de base de este indicador es de 336 proyectos, y la meta del cuatrienio 2022-2026 fue de 464 proyectos, esto es, 128 nuevos proyectos. Con corte a junio de 2026, la ART ha reportado 82 nuevos proyectos, lo que equivale a un avance del 64% frente a la meta del cuatrienio.</w:t>
      </w:r>
    </w:p>
    <w:p w14:paraId="168A3DF1" w14:textId="77777777" w:rsidR="00DE3C06" w:rsidRPr="000C5171" w:rsidRDefault="00DE3C06" w:rsidP="00DE3C06">
      <w:pPr>
        <w:pStyle w:val="Prrafodelista"/>
        <w:spacing w:line="276" w:lineRule="auto"/>
        <w:ind w:left="0"/>
        <w:jc w:val="both"/>
        <w:rPr>
          <w:rFonts w:cs="Tahoma"/>
          <w:sz w:val="22"/>
          <w:szCs w:val="22"/>
        </w:rPr>
      </w:pPr>
    </w:p>
    <w:p w14:paraId="50771214" w14:textId="77777777" w:rsidR="00DE3C06" w:rsidRPr="000C5171" w:rsidRDefault="00DE3C06" w:rsidP="00DE3C06">
      <w:pPr>
        <w:pStyle w:val="Prrafodelista"/>
        <w:spacing w:line="276" w:lineRule="auto"/>
        <w:ind w:left="0"/>
        <w:jc w:val="both"/>
        <w:rPr>
          <w:rFonts w:cs="Tahoma"/>
          <w:sz w:val="22"/>
          <w:szCs w:val="22"/>
        </w:rPr>
      </w:pPr>
      <w:r w:rsidRPr="000C5171">
        <w:rPr>
          <w:rFonts w:cs="Tahoma"/>
          <w:b/>
          <w:bCs/>
          <w:i/>
          <w:iCs/>
          <w:sz w:val="22"/>
          <w:szCs w:val="22"/>
        </w:rPr>
        <w:t>II) ID189 - Proyectos integradores para la transformación regional en las subregiones PDET, en ejecución</w:t>
      </w:r>
      <w:r w:rsidRPr="000C5171">
        <w:rPr>
          <w:rFonts w:cs="Tahoma"/>
          <w:sz w:val="22"/>
          <w:szCs w:val="22"/>
        </w:rPr>
        <w:t xml:space="preserve">, que busca medir intervenciones integrales para la transformación territorial que generen dinámicas socioeconómicas que mejoran condiciones de vida, fomentan la reconciliación y promueven la convergencia de acciones intersectoriales de entidades líderes de la Reforma Rural Integral. Este indicador no tiene línea de base, la meta fijada para el cuatrienio 2022-2026 fue de 24 proyectos. Con corte a junio de 2026, la ART ha reportado 14 proyectos, lo que equivale a un avance del 58,33% frente a la meta del cuatrienio. </w:t>
      </w:r>
    </w:p>
    <w:p w14:paraId="02FD66B5" w14:textId="77777777" w:rsidR="00DE3C06" w:rsidRPr="000C5171" w:rsidRDefault="00DE3C06" w:rsidP="00DE3C06">
      <w:pPr>
        <w:pStyle w:val="Prrafodelista"/>
        <w:spacing w:line="276" w:lineRule="auto"/>
        <w:ind w:left="0"/>
        <w:jc w:val="both"/>
        <w:rPr>
          <w:rFonts w:cs="Tahoma"/>
          <w:sz w:val="22"/>
          <w:szCs w:val="22"/>
        </w:rPr>
      </w:pPr>
    </w:p>
    <w:p w14:paraId="4E59CE46" w14:textId="77777777" w:rsidR="00DE3C06" w:rsidRPr="000C5171" w:rsidRDefault="00DE3C06" w:rsidP="00DE3C06">
      <w:pPr>
        <w:pStyle w:val="Prrafodelista"/>
        <w:spacing w:line="276" w:lineRule="auto"/>
        <w:ind w:left="0"/>
        <w:jc w:val="both"/>
        <w:rPr>
          <w:rFonts w:cs="Tahoma"/>
          <w:sz w:val="22"/>
          <w:szCs w:val="22"/>
        </w:rPr>
      </w:pPr>
      <w:r w:rsidRPr="000C5171">
        <w:rPr>
          <w:rFonts w:eastAsia="Arial" w:cs="Tahoma"/>
          <w:sz w:val="22"/>
          <w:szCs w:val="22"/>
        </w:rPr>
        <w:t xml:space="preserve">El </w:t>
      </w:r>
      <w:r w:rsidRPr="000C5171">
        <w:rPr>
          <w:rFonts w:cs="Tahoma"/>
          <w:b/>
          <w:bCs/>
          <w:sz w:val="22"/>
          <w:szCs w:val="22"/>
        </w:rPr>
        <w:t>ANEXO 7</w:t>
      </w:r>
      <w:r w:rsidRPr="000C5171">
        <w:rPr>
          <w:rFonts w:cs="Tahoma"/>
          <w:sz w:val="22"/>
          <w:szCs w:val="22"/>
        </w:rPr>
        <w:t xml:space="preserve"> “INDICADORES PND 2022-2026 ART-PDET” incluye información más detallada de cada uno de estos dos indicadores</w:t>
      </w:r>
      <w:r w:rsidRPr="000C5171">
        <w:rPr>
          <w:rFonts w:cs="Tahoma"/>
          <w:sz w:val="22"/>
          <w:szCs w:val="22"/>
          <w:vertAlign w:val="superscript"/>
        </w:rPr>
        <w:footnoteReference w:id="28"/>
      </w:r>
      <w:r w:rsidRPr="000C5171">
        <w:rPr>
          <w:rFonts w:cs="Tahoma"/>
          <w:sz w:val="22"/>
          <w:szCs w:val="22"/>
        </w:rPr>
        <w:t>.</w:t>
      </w:r>
    </w:p>
    <w:p w14:paraId="664B26D3" w14:textId="77777777" w:rsidR="00DE3C06" w:rsidRPr="000C5171" w:rsidRDefault="00DE3C06" w:rsidP="00DE3C06">
      <w:pPr>
        <w:spacing w:line="276" w:lineRule="auto"/>
        <w:contextualSpacing/>
        <w:jc w:val="both"/>
        <w:rPr>
          <w:rFonts w:cs="Tahoma"/>
          <w:sz w:val="22"/>
          <w:szCs w:val="22"/>
        </w:rPr>
      </w:pPr>
      <w:r w:rsidRPr="000C5171">
        <w:rPr>
          <w:rFonts w:cs="Tahoma"/>
          <w:sz w:val="22"/>
          <w:szCs w:val="22"/>
        </w:rPr>
        <w:t>Adicionalmente, en el marco de la consulta previa del PND 2022-2026, la ART concertó compromisos con la Mesa Permanente de Pueblos Indígenas, la Mesa Regional Amazónica y Espacio Nacional de Consulta Previa de comunidades negras, afrocolombianas, raizales y palenqueras. El avance de estos compromisos se detalla en el numeral 6.2.</w:t>
      </w:r>
    </w:p>
    <w:p w14:paraId="6C1D63DC" w14:textId="77777777" w:rsidR="00DE3C06" w:rsidRPr="000C5171" w:rsidRDefault="00DE3C06" w:rsidP="00DE3C06">
      <w:pPr>
        <w:spacing w:line="276" w:lineRule="auto"/>
        <w:contextualSpacing/>
        <w:jc w:val="both"/>
        <w:rPr>
          <w:rFonts w:cs="Tahoma"/>
          <w:sz w:val="22"/>
          <w:szCs w:val="22"/>
        </w:rPr>
      </w:pPr>
    </w:p>
    <w:p w14:paraId="3E8CEEC0" w14:textId="77777777" w:rsidR="00DE3C06" w:rsidRPr="000C5171" w:rsidRDefault="00DE3C06" w:rsidP="00DE3C06">
      <w:pPr>
        <w:spacing w:line="276" w:lineRule="auto"/>
        <w:jc w:val="both"/>
        <w:rPr>
          <w:rFonts w:cs="Tahoma"/>
          <w:color w:val="0070C0"/>
          <w:sz w:val="22"/>
          <w:szCs w:val="22"/>
        </w:rPr>
      </w:pPr>
      <w:r w:rsidRPr="000C5171">
        <w:rPr>
          <w:rFonts w:cs="Tahoma"/>
          <w:color w:val="0070C0"/>
          <w:sz w:val="22"/>
          <w:szCs w:val="22"/>
        </w:rPr>
        <w:t>6.1.1. Otros: Indicador de primer nivel Plan Nacional de Desarrollo</w:t>
      </w:r>
    </w:p>
    <w:p w14:paraId="3FB01118" w14:textId="77777777" w:rsidR="00DE3C06" w:rsidRPr="000C5171" w:rsidRDefault="00DE3C06" w:rsidP="00DE3C06">
      <w:pPr>
        <w:spacing w:after="0" w:line="276" w:lineRule="auto"/>
        <w:jc w:val="both"/>
        <w:rPr>
          <w:rFonts w:cs="Tahoma"/>
          <w:sz w:val="22"/>
          <w:szCs w:val="22"/>
        </w:rPr>
      </w:pPr>
    </w:p>
    <w:p w14:paraId="608C9B49" w14:textId="77777777" w:rsidR="00DE3C06" w:rsidRPr="000C5171" w:rsidRDefault="00DE3C06" w:rsidP="00DE3C06">
      <w:pPr>
        <w:spacing w:after="0" w:line="276" w:lineRule="auto"/>
        <w:jc w:val="both"/>
        <w:rPr>
          <w:sz w:val="22"/>
          <w:szCs w:val="22"/>
        </w:rPr>
      </w:pPr>
      <w:r w:rsidRPr="000C5171">
        <w:rPr>
          <w:rFonts w:cs="Tahoma"/>
          <w:sz w:val="22"/>
          <w:szCs w:val="22"/>
        </w:rPr>
        <w:t xml:space="preserve">Se presenta el Índice de Pobreza Multidimensional </w:t>
      </w:r>
      <w:r w:rsidRPr="000C5171">
        <w:rPr>
          <w:sz w:val="22"/>
          <w:szCs w:val="22"/>
        </w:rPr>
        <w:t>(IPM</w:t>
      </w:r>
      <w:r w:rsidRPr="000C5171">
        <w:rPr>
          <w:rStyle w:val="Refdenotaalpie"/>
          <w:rFonts w:cs="Tahoma"/>
          <w:sz w:val="22"/>
          <w:szCs w:val="22"/>
        </w:rPr>
        <w:footnoteReference w:id="29"/>
      </w:r>
      <w:r w:rsidRPr="000C5171">
        <w:rPr>
          <w:sz w:val="22"/>
          <w:szCs w:val="22"/>
        </w:rPr>
        <w:t>)</w:t>
      </w:r>
      <w:r w:rsidRPr="000C5171">
        <w:rPr>
          <w:rFonts w:cs="Tahoma"/>
          <w:sz w:val="22"/>
          <w:szCs w:val="22"/>
        </w:rPr>
        <w:t xml:space="preserve"> como indicador de alto impacto, en tanto constituye un criterio estratégico de focalización de los PDET y una herramienta clave para el monitoreo de la reducción de brechas territoriales. </w:t>
      </w:r>
    </w:p>
    <w:p w14:paraId="0D2E29FF" w14:textId="77777777" w:rsidR="00DE3C06" w:rsidRPr="000C5171" w:rsidRDefault="00DE3C06" w:rsidP="00DE3C06">
      <w:pPr>
        <w:pStyle w:val="Ttulo2"/>
        <w:spacing w:after="0" w:line="276" w:lineRule="auto"/>
        <w:jc w:val="both"/>
        <w:rPr>
          <w:rFonts w:asciiTheme="minorHAnsi" w:hAnsiTheme="minorHAnsi" w:cs="Arial"/>
          <w:sz w:val="22"/>
          <w:szCs w:val="22"/>
          <w:shd w:val="clear" w:color="auto" w:fill="FFFFFF"/>
        </w:rPr>
      </w:pPr>
    </w:p>
    <w:p w14:paraId="3F0DD362" w14:textId="77777777" w:rsidR="00DE3C06" w:rsidRPr="000C5171" w:rsidRDefault="00DE3C06" w:rsidP="00DE3C06">
      <w:pPr>
        <w:spacing w:after="0" w:line="276" w:lineRule="auto"/>
        <w:jc w:val="both"/>
        <w:rPr>
          <w:sz w:val="22"/>
          <w:szCs w:val="22"/>
        </w:rPr>
      </w:pPr>
      <w:r w:rsidRPr="000C5171">
        <w:rPr>
          <w:sz w:val="22"/>
          <w:szCs w:val="22"/>
        </w:rPr>
        <w:t xml:space="preserve">El cierre de la brecha de pobreza multidimensional entre los </w:t>
      </w:r>
      <w:r w:rsidRPr="000C5171">
        <w:rPr>
          <w:b/>
          <w:bCs/>
          <w:sz w:val="22"/>
          <w:szCs w:val="22"/>
        </w:rPr>
        <w:t>municipios PDET</w:t>
      </w:r>
      <w:r w:rsidRPr="000C5171">
        <w:rPr>
          <w:sz w:val="22"/>
          <w:szCs w:val="22"/>
        </w:rPr>
        <w:t xml:space="preserve"> y el promedio nacional constituye el objetivo central de este componente. En este sentido, el avance del cuatrienio 2021-2024 registra una </w:t>
      </w:r>
      <w:r w:rsidRPr="000C5171">
        <w:rPr>
          <w:b/>
          <w:bCs/>
          <w:sz w:val="22"/>
          <w:szCs w:val="22"/>
        </w:rPr>
        <w:t>reducción de 2,5 p.p.</w:t>
      </w:r>
      <w:r w:rsidRPr="000C5171">
        <w:rPr>
          <w:sz w:val="22"/>
          <w:szCs w:val="22"/>
        </w:rPr>
        <w:t xml:space="preserve"> en dicha brecha, al pasar de 15,4 p.p. en 2021 (línea base) a 12,9 p.p. en 2024 </w:t>
      </w:r>
      <w:r w:rsidRPr="000C5171">
        <w:rPr>
          <w:rStyle w:val="Refdenotaalpie"/>
          <w:rFonts w:cs="Tahoma"/>
          <w:sz w:val="22"/>
          <w:szCs w:val="22"/>
        </w:rPr>
        <w:footnoteReference w:id="30"/>
      </w:r>
      <w:r w:rsidRPr="000C5171">
        <w:rPr>
          <w:sz w:val="22"/>
          <w:szCs w:val="22"/>
        </w:rPr>
        <w:t>.</w:t>
      </w:r>
    </w:p>
    <w:p w14:paraId="107335D7" w14:textId="77777777" w:rsidR="00DE3C06" w:rsidRPr="000C5171" w:rsidRDefault="00DE3C06" w:rsidP="00DE3C06">
      <w:pPr>
        <w:spacing w:after="0" w:line="276" w:lineRule="auto"/>
        <w:jc w:val="both"/>
        <w:rPr>
          <w:sz w:val="22"/>
          <w:szCs w:val="22"/>
        </w:rPr>
      </w:pPr>
    </w:p>
    <w:p w14:paraId="2EE5276A" w14:textId="77777777" w:rsidR="00DE3C06" w:rsidRPr="000C5171" w:rsidRDefault="00DE3C06" w:rsidP="00DE3C06">
      <w:pPr>
        <w:jc w:val="both"/>
        <w:rPr>
          <w:shd w:val="clear" w:color="auto" w:fill="FFFFFF"/>
        </w:rPr>
      </w:pPr>
      <w:r w:rsidRPr="000C5171">
        <w:rPr>
          <w:shd w:val="clear" w:color="auto" w:fill="FFFFFF"/>
        </w:rPr>
        <w:t>La reducción de esta brecha reviste una importancia estratégica para los territorios PDET, en la medida en que estos municipios concentran privaciones en dimensiones como educación, trabajo, salud, vivienda, acceso a servicios públicos y condiciones de la niñez y la juventud. En consecuencia, el seguimiento del IPM en los municipios PDET no solo permite medir el avance en la superación de estas privaciones estructurales, sino que constituye un indicador de cumplimiento de los compromisos establecidos en el Punto 1 del Acuerdo Final de Paz, frente al cierre de brechas territoriales.</w:t>
      </w:r>
    </w:p>
    <w:p w14:paraId="2825CABA" w14:textId="77777777" w:rsidR="00DE3C06" w:rsidRPr="000C5171" w:rsidRDefault="00DE3C06" w:rsidP="00DE3C06">
      <w:pPr>
        <w:jc w:val="both"/>
        <w:rPr>
          <w:rFonts w:cs="Tahoma"/>
        </w:rPr>
      </w:pPr>
      <w:r w:rsidRPr="000C5171">
        <w:rPr>
          <w:rFonts w:cs="Tahoma"/>
        </w:rPr>
        <w:t>De mantenerse el comportamiento del cronograma de publicaciones del DANE, en julio de 2026 se contará con la medición a cierre de 2025.</w:t>
      </w:r>
    </w:p>
    <w:p w14:paraId="4CDF0468" w14:textId="77777777" w:rsidR="00DE3C06" w:rsidRPr="000C5171" w:rsidRDefault="00DE3C06" w:rsidP="00DE3C06">
      <w:pPr>
        <w:pStyle w:val="NormalWeb"/>
        <w:spacing w:after="0" w:afterAutospacing="0" w:line="276" w:lineRule="auto"/>
        <w:jc w:val="both"/>
        <w:rPr>
          <w:rFonts w:asciiTheme="minorHAnsi" w:hAnsiTheme="minorHAnsi"/>
          <w:sz w:val="22"/>
          <w:szCs w:val="22"/>
          <w:highlight w:val="yellow"/>
        </w:rPr>
      </w:pPr>
    </w:p>
    <w:p w14:paraId="22B8E486" w14:textId="77777777" w:rsidR="00DE3C06" w:rsidRPr="000C5171" w:rsidRDefault="00DE3C06" w:rsidP="00DE3C06">
      <w:pPr>
        <w:spacing w:line="276" w:lineRule="auto"/>
        <w:jc w:val="both"/>
        <w:rPr>
          <w:rFonts w:cs="Tahoma"/>
          <w:sz w:val="22"/>
          <w:szCs w:val="22"/>
        </w:rPr>
      </w:pPr>
      <w:r w:rsidRPr="000C5171">
        <w:rPr>
          <w:rFonts w:cs="Tahoma"/>
          <w:sz w:val="22"/>
          <w:szCs w:val="22"/>
        </w:rPr>
        <w:t>En este punto es conveniente señalar que la ART logro incidir en la inclusión de la meta de cuatrienio que busca reducir la brecha de pobreza multidimensional entre los territorios PDET y el Total Nacional, y se viene haciendo monitoreo al respecto sin embargo durante el cuatrienio no hubo una responsabilidad definitiva de la apropiación de la meta entre el sector de inclusión social y el de Igualdad.</w:t>
      </w:r>
    </w:p>
    <w:p w14:paraId="2A239AE2" w14:textId="77777777" w:rsidR="00DE3C06" w:rsidRPr="000C5171" w:rsidRDefault="00DE3C06" w:rsidP="00DE3C06">
      <w:pPr>
        <w:spacing w:after="0" w:line="276" w:lineRule="auto"/>
        <w:jc w:val="both"/>
        <w:rPr>
          <w:rFonts w:cs="Tahoma"/>
          <w:sz w:val="22"/>
          <w:szCs w:val="22"/>
        </w:rPr>
      </w:pPr>
      <w:r w:rsidRPr="000C5171">
        <w:rPr>
          <w:rFonts w:cs="Arial"/>
          <w:sz w:val="22"/>
          <w:szCs w:val="22"/>
          <w:shd w:val="clear" w:color="auto" w:fill="FFFFFF"/>
        </w:rPr>
        <w:t xml:space="preserve">Para tal fin la ART presenta el desempeño </w:t>
      </w:r>
      <w:r w:rsidRPr="000C5171">
        <w:rPr>
          <w:rFonts w:cs="Tahoma"/>
          <w:sz w:val="22"/>
          <w:szCs w:val="22"/>
        </w:rPr>
        <w:t xml:space="preserve">por medio del </w:t>
      </w:r>
      <w:r w:rsidRPr="000C5171">
        <w:rPr>
          <w:rFonts w:cs="Tahoma"/>
          <w:b/>
          <w:bCs/>
          <w:sz w:val="22"/>
          <w:szCs w:val="22"/>
        </w:rPr>
        <w:t>ANEXO 8 “</w:t>
      </w:r>
      <w:r w:rsidRPr="000C5171">
        <w:rPr>
          <w:rFonts w:cs="Tahoma"/>
          <w:sz w:val="22"/>
          <w:szCs w:val="22"/>
        </w:rPr>
        <w:t xml:space="preserve">OTROS INDICADORES PND”. La fuente de la información a la fecha es: SINERGIA 2025       </w:t>
      </w:r>
    </w:p>
    <w:p w14:paraId="32F99E67" w14:textId="77777777" w:rsidR="00DE3C06" w:rsidRPr="000C5171" w:rsidRDefault="00DE3C06" w:rsidP="00DE3C06">
      <w:pPr>
        <w:spacing w:after="0" w:line="276" w:lineRule="auto"/>
        <w:jc w:val="both"/>
        <w:rPr>
          <w:rFonts w:cs="Tahoma"/>
          <w:sz w:val="22"/>
          <w:szCs w:val="22"/>
        </w:rPr>
      </w:pPr>
    </w:p>
    <w:p w14:paraId="2D3EA824" w14:textId="77777777" w:rsidR="00DE3C06" w:rsidRPr="000C5171" w:rsidRDefault="00DE3C06" w:rsidP="00DE3C06">
      <w:pPr>
        <w:pStyle w:val="Ttulo1"/>
        <w:spacing w:line="276" w:lineRule="auto"/>
        <w:rPr>
          <w:rFonts w:cs="Tahoma"/>
          <w:color w:val="0070C0"/>
        </w:rPr>
      </w:pPr>
      <w:bookmarkStart w:id="17" w:name="_Toc234168082"/>
      <w:r w:rsidRPr="000C5171">
        <w:rPr>
          <w:rFonts w:cs="Tahoma"/>
          <w:color w:val="0070C0"/>
        </w:rPr>
        <w:t>6.2 Acuerdos con comunidades étnicas</w:t>
      </w:r>
      <w:bookmarkEnd w:id="17"/>
      <w:r w:rsidRPr="000C5171">
        <w:rPr>
          <w:rFonts w:cs="Tahoma"/>
          <w:color w:val="0070C0"/>
        </w:rPr>
        <w:tab/>
      </w:r>
    </w:p>
    <w:p w14:paraId="57C534EF" w14:textId="77777777" w:rsidR="00DE3C06" w:rsidRPr="000C5171" w:rsidRDefault="00DE3C06">
      <w:pPr>
        <w:pStyle w:val="Prrafodelista"/>
        <w:numPr>
          <w:ilvl w:val="2"/>
          <w:numId w:val="12"/>
        </w:numPr>
        <w:spacing w:line="276" w:lineRule="auto"/>
        <w:ind w:left="0" w:firstLine="0"/>
        <w:jc w:val="both"/>
        <w:rPr>
          <w:rFonts w:cs="Tahoma"/>
          <w:color w:val="0070C0"/>
          <w:sz w:val="22"/>
          <w:szCs w:val="22"/>
        </w:rPr>
      </w:pPr>
      <w:r w:rsidRPr="000C5171">
        <w:rPr>
          <w:rFonts w:cs="Tahoma"/>
          <w:color w:val="0070C0"/>
          <w:sz w:val="22"/>
          <w:szCs w:val="22"/>
        </w:rPr>
        <w:t>Espacios Nacionales de Concertación del Plan Nacional de Desarrollo</w:t>
      </w:r>
    </w:p>
    <w:p w14:paraId="438C9615" w14:textId="77777777" w:rsidR="00DE3C06" w:rsidRPr="000C5171" w:rsidRDefault="00DE3C06" w:rsidP="00DE3C06">
      <w:pPr>
        <w:pStyle w:val="Prrafodelista"/>
        <w:spacing w:line="276" w:lineRule="auto"/>
        <w:ind w:left="0"/>
        <w:jc w:val="both"/>
        <w:rPr>
          <w:rFonts w:cs="Tahoma"/>
          <w:sz w:val="22"/>
          <w:szCs w:val="22"/>
        </w:rPr>
      </w:pPr>
    </w:p>
    <w:p w14:paraId="036674A1" w14:textId="77777777" w:rsidR="00DE3C06" w:rsidRPr="000C5171" w:rsidRDefault="00DE3C06" w:rsidP="00DE3C06">
      <w:pPr>
        <w:pStyle w:val="Prrafodelista"/>
        <w:spacing w:line="276" w:lineRule="auto"/>
        <w:ind w:left="0"/>
        <w:jc w:val="both"/>
        <w:rPr>
          <w:rFonts w:cs="Tahoma"/>
          <w:color w:val="0070C0"/>
          <w:sz w:val="22"/>
          <w:szCs w:val="22"/>
        </w:rPr>
      </w:pPr>
      <w:r w:rsidRPr="000C5171">
        <w:rPr>
          <w:rFonts w:cs="Tahoma"/>
          <w:sz w:val="22"/>
          <w:szCs w:val="22"/>
        </w:rPr>
        <w:lastRenderedPageBreak/>
        <w:t xml:space="preserve">En el marco de las discusiones para la formulación del Plan Nacional de Desarrollo 2022-2026, la ART concertó con los Espacios Étnicos Nacionales de Concertación algunos compromisos tendientes a avanzar en la implementación del enfoque étnico en el PDET. </w:t>
      </w:r>
    </w:p>
    <w:p w14:paraId="0C950588" w14:textId="77777777" w:rsidR="00DE3C06" w:rsidRPr="000C5171" w:rsidRDefault="00DE3C06" w:rsidP="00DE3C06">
      <w:pPr>
        <w:spacing w:line="276" w:lineRule="auto"/>
        <w:jc w:val="both"/>
        <w:rPr>
          <w:rFonts w:cs="Tahoma"/>
          <w:sz w:val="22"/>
          <w:szCs w:val="22"/>
        </w:rPr>
      </w:pPr>
      <w:r w:rsidRPr="000C5171">
        <w:rPr>
          <w:rFonts w:cs="Tahoma"/>
          <w:sz w:val="22"/>
          <w:szCs w:val="22"/>
        </w:rPr>
        <w:t>Así las cosas, con la Mesa Permanente de Concertación para Pueblos Indígenas (MPC), se acordó: “</w:t>
      </w:r>
      <w:r w:rsidRPr="000C5171">
        <w:rPr>
          <w:rFonts w:eastAsia="Arial" w:cs="Arial"/>
          <w:sz w:val="22"/>
          <w:szCs w:val="22"/>
        </w:rPr>
        <w:t>Avanzar en la implementación de los PDET, conforme al Art. 1ro del Capítulo 1 del Decreto 893 de 2017, para cumplir con las iniciativas con enfoque étnico para pueblos indígenas, concertadas y plasmadas en los PATR garantizando la gestión de apropiación presupuestal en sus distintas fases, y fortaleciendo técnica y operativamente a los Pueblos Indígenas y los Mecanismos Especiales de Consulta (MEC)”.</w:t>
      </w:r>
      <w:r w:rsidRPr="000C5171">
        <w:rPr>
          <w:rFonts w:eastAsia="Arial" w:cs="Arial"/>
          <w:i/>
          <w:iCs/>
          <w:sz w:val="22"/>
          <w:szCs w:val="22"/>
        </w:rPr>
        <w:t xml:space="preserve"> </w:t>
      </w:r>
      <w:r w:rsidRPr="000C5171">
        <w:rPr>
          <w:rFonts w:eastAsia="Arial" w:cs="Arial"/>
          <w:sz w:val="22"/>
          <w:szCs w:val="22"/>
        </w:rPr>
        <w:t xml:space="preserve">(Acuerdo </w:t>
      </w:r>
      <w:r w:rsidRPr="000C5171">
        <w:rPr>
          <w:rFonts w:cs="Tahoma"/>
          <w:sz w:val="22"/>
          <w:szCs w:val="22"/>
        </w:rPr>
        <w:t>IT5-143)</w:t>
      </w:r>
    </w:p>
    <w:p w14:paraId="4C01D8FE" w14:textId="77777777" w:rsidR="00DE3C06" w:rsidRPr="000C5171" w:rsidRDefault="00DE3C06" w:rsidP="00DE3C06">
      <w:pPr>
        <w:spacing w:line="276" w:lineRule="auto"/>
        <w:jc w:val="both"/>
        <w:rPr>
          <w:rFonts w:eastAsia="Arial" w:cs="Arial"/>
          <w:sz w:val="22"/>
          <w:szCs w:val="22"/>
        </w:rPr>
      </w:pPr>
      <w:r w:rsidRPr="000C5171">
        <w:rPr>
          <w:rFonts w:cs="Tahoma"/>
          <w:sz w:val="22"/>
          <w:szCs w:val="22"/>
        </w:rPr>
        <w:t>Con la Mesa Regional Amazónica (MRA), se concertó: “</w:t>
      </w:r>
      <w:r w:rsidRPr="000C5171">
        <w:rPr>
          <w:rFonts w:eastAsia="Arial" w:cs="Arial"/>
          <w:sz w:val="22"/>
          <w:szCs w:val="22"/>
        </w:rPr>
        <w:t xml:space="preserve">Avanzar en la implementación de los PDET, conforme al Art. 1ro del Capítulo 1 del Decreto 893 de 2017, para cumplir con las iniciativas con enfoque étnico para pueblos indígenas, concertadas y plasmadas en los PATR garantizando la gestión de apropiación presupuestal en sus distintas fases, y fortaleciendo técnica y operativamente los Mecanismos Especiales de Consulta (MEC), en los </w:t>
      </w:r>
      <w:r w:rsidRPr="000C5171">
        <w:rPr>
          <w:rFonts w:eastAsia="Arial" w:cs="Arial"/>
          <w:sz w:val="22"/>
          <w:szCs w:val="22"/>
          <w:u w:val="single"/>
        </w:rPr>
        <w:t>departamentos de Putumayo, Caquetá y Guaviare</w:t>
      </w:r>
      <w:r w:rsidRPr="000C5171">
        <w:rPr>
          <w:rFonts w:eastAsia="Arial" w:cs="Arial"/>
          <w:sz w:val="22"/>
          <w:szCs w:val="22"/>
        </w:rPr>
        <w:t xml:space="preserve">, en concertación con la MRA”. (Acuerdo </w:t>
      </w:r>
      <w:r w:rsidRPr="000C5171">
        <w:rPr>
          <w:rFonts w:cs="Tahoma"/>
          <w:sz w:val="22"/>
          <w:szCs w:val="22"/>
        </w:rPr>
        <w:t>IT1-177)</w:t>
      </w:r>
    </w:p>
    <w:p w14:paraId="7DEE7704" w14:textId="77777777" w:rsidR="00DE3C06" w:rsidRPr="000C5171" w:rsidRDefault="00DE3C06" w:rsidP="00DE3C06">
      <w:pPr>
        <w:spacing w:line="276" w:lineRule="auto"/>
        <w:jc w:val="both"/>
        <w:rPr>
          <w:rFonts w:cs="Tahoma"/>
          <w:sz w:val="22"/>
          <w:szCs w:val="22"/>
        </w:rPr>
      </w:pPr>
      <w:r w:rsidRPr="000C5171">
        <w:rPr>
          <w:rFonts w:eastAsia="Arial" w:cs="Arial"/>
          <w:sz w:val="22"/>
          <w:szCs w:val="22"/>
        </w:rPr>
        <w:t xml:space="preserve">Por su parte, con el Espacio Nacional de Consulta Previa para Comunidades Negras, Afrodescendientes, Raizales y Palenqueras (ENCP), se acordó </w:t>
      </w:r>
      <w:r w:rsidRPr="000C5171">
        <w:rPr>
          <w:rFonts w:cs="Tahoma"/>
          <w:sz w:val="22"/>
          <w:szCs w:val="22"/>
        </w:rPr>
        <w:t>avanzar en la “</w:t>
      </w:r>
      <w:r w:rsidRPr="000C5171">
        <w:rPr>
          <w:rFonts w:eastAsia="Arial" w:cs="Arial"/>
          <w:sz w:val="22"/>
          <w:szCs w:val="22"/>
        </w:rPr>
        <w:t xml:space="preserve">Revisión y actualización de la hoja de ruta para la implementación efectiva del PDET en las comunidades negras de los municipios PDET”. (Acuerdo </w:t>
      </w:r>
      <w:r w:rsidRPr="000C5171">
        <w:rPr>
          <w:rFonts w:cs="Tahoma"/>
          <w:sz w:val="22"/>
          <w:szCs w:val="22"/>
        </w:rPr>
        <w:t xml:space="preserve">NT5-157). </w:t>
      </w:r>
    </w:p>
    <w:p w14:paraId="4058C020" w14:textId="77777777" w:rsidR="00DE3C06" w:rsidRPr="000C5171" w:rsidRDefault="00DE3C06" w:rsidP="00DE3C06">
      <w:pPr>
        <w:spacing w:line="276" w:lineRule="auto"/>
        <w:jc w:val="both"/>
        <w:rPr>
          <w:rFonts w:cs="Tahoma"/>
          <w:sz w:val="22"/>
          <w:szCs w:val="22"/>
        </w:rPr>
      </w:pPr>
      <w:r w:rsidRPr="000C5171">
        <w:rPr>
          <w:rFonts w:cs="Tahoma"/>
          <w:sz w:val="22"/>
          <w:szCs w:val="22"/>
        </w:rPr>
        <w:t>Con los tres escenarios, se pactó una partida presupuestal</w:t>
      </w:r>
      <w:r w:rsidRPr="000C5171">
        <w:rPr>
          <w:rStyle w:val="Refdenotaalpie"/>
          <w:rFonts w:cs="Tahoma"/>
          <w:sz w:val="22"/>
          <w:szCs w:val="22"/>
        </w:rPr>
        <w:footnoteReference w:id="31"/>
      </w:r>
      <w:r w:rsidRPr="000C5171">
        <w:rPr>
          <w:rFonts w:cs="Tahoma"/>
          <w:sz w:val="22"/>
          <w:szCs w:val="22"/>
        </w:rPr>
        <w:t xml:space="preserve"> y se convino medir el avance del compromiso con los siguientes indicadores</w:t>
      </w:r>
      <w:r w:rsidRPr="000C5171">
        <w:rPr>
          <w:rStyle w:val="Refdenotaalpie"/>
          <w:rFonts w:cs="Tahoma"/>
          <w:sz w:val="22"/>
          <w:szCs w:val="22"/>
        </w:rPr>
        <w:footnoteReference w:id="32"/>
      </w:r>
      <w:r w:rsidRPr="000C5171">
        <w:rPr>
          <w:rFonts w:cs="Tahoma"/>
          <w:sz w:val="22"/>
          <w:szCs w:val="22"/>
        </w:rPr>
        <w:t>:</w:t>
      </w:r>
    </w:p>
    <w:p w14:paraId="27CF6637" w14:textId="77777777" w:rsidR="00DE3C06" w:rsidRPr="000C5171" w:rsidRDefault="00DE3C06">
      <w:pPr>
        <w:pStyle w:val="Prrafodelista"/>
        <w:numPr>
          <w:ilvl w:val="0"/>
          <w:numId w:val="3"/>
        </w:numPr>
        <w:spacing w:line="276" w:lineRule="auto"/>
        <w:jc w:val="both"/>
        <w:rPr>
          <w:rFonts w:cs="Tahoma"/>
          <w:sz w:val="22"/>
          <w:szCs w:val="22"/>
        </w:rPr>
      </w:pPr>
      <w:r w:rsidRPr="000C5171">
        <w:rPr>
          <w:rFonts w:cs="Tahoma"/>
          <w:sz w:val="22"/>
          <w:szCs w:val="22"/>
        </w:rPr>
        <w:t xml:space="preserve">Porcentaje (%) de iniciativas con ruta de implementación activada. </w:t>
      </w:r>
    </w:p>
    <w:p w14:paraId="5A91169C" w14:textId="77777777" w:rsidR="00DE3C06" w:rsidRPr="000C5171" w:rsidRDefault="00DE3C06">
      <w:pPr>
        <w:pStyle w:val="Prrafodelista"/>
        <w:numPr>
          <w:ilvl w:val="0"/>
          <w:numId w:val="3"/>
        </w:numPr>
        <w:spacing w:line="276" w:lineRule="auto"/>
        <w:jc w:val="both"/>
        <w:rPr>
          <w:rFonts w:cs="Tahoma"/>
          <w:sz w:val="22"/>
          <w:szCs w:val="22"/>
        </w:rPr>
      </w:pPr>
      <w:r w:rsidRPr="000C5171">
        <w:rPr>
          <w:rFonts w:cs="Tahoma"/>
          <w:sz w:val="22"/>
          <w:szCs w:val="22"/>
        </w:rPr>
        <w:t>Número (#) de Mecanismos Especiales de Consulta (MEC) fortalecidos técnica y operativamente.</w:t>
      </w:r>
    </w:p>
    <w:p w14:paraId="0B1D3538" w14:textId="77777777" w:rsidR="00DE3C06" w:rsidRPr="000C5171" w:rsidRDefault="00DE3C06" w:rsidP="00DE3C06">
      <w:pPr>
        <w:spacing w:line="276" w:lineRule="auto"/>
        <w:jc w:val="both"/>
        <w:rPr>
          <w:rFonts w:cs="Tahoma"/>
          <w:sz w:val="22"/>
          <w:szCs w:val="22"/>
        </w:rPr>
      </w:pPr>
      <w:r w:rsidRPr="000C5171">
        <w:rPr>
          <w:rFonts w:cs="Tahoma"/>
          <w:sz w:val="22"/>
          <w:szCs w:val="22"/>
        </w:rPr>
        <w:t xml:space="preserve">En particular, con la Mesa Permanente de Concertación de Pueblos Indígenas, se acordó un indicador adicional: </w:t>
      </w:r>
    </w:p>
    <w:p w14:paraId="7A8F50F3" w14:textId="77777777" w:rsidR="00DE3C06" w:rsidRPr="000C5171" w:rsidRDefault="00DE3C06">
      <w:pPr>
        <w:pStyle w:val="Prrafodelista"/>
        <w:numPr>
          <w:ilvl w:val="0"/>
          <w:numId w:val="3"/>
        </w:numPr>
        <w:spacing w:line="276" w:lineRule="auto"/>
        <w:jc w:val="both"/>
        <w:rPr>
          <w:rFonts w:cs="Tahoma"/>
          <w:sz w:val="22"/>
          <w:szCs w:val="22"/>
        </w:rPr>
      </w:pPr>
      <w:r w:rsidRPr="000C5171">
        <w:rPr>
          <w:rFonts w:cs="Tahoma"/>
          <w:sz w:val="22"/>
          <w:szCs w:val="22"/>
        </w:rPr>
        <w:t xml:space="preserve">Porcentaje de proyectos del PATR con enfoque de género y/o indígenas ejecutados. </w:t>
      </w:r>
    </w:p>
    <w:p w14:paraId="67216F8A" w14:textId="77777777" w:rsidR="00DE3C06" w:rsidRPr="000C5171" w:rsidRDefault="00DE3C06" w:rsidP="00DE3C06">
      <w:pPr>
        <w:spacing w:line="276" w:lineRule="auto"/>
        <w:contextualSpacing/>
        <w:jc w:val="both"/>
        <w:rPr>
          <w:rFonts w:cs="Tahoma"/>
          <w:sz w:val="22"/>
          <w:szCs w:val="22"/>
        </w:rPr>
      </w:pPr>
      <w:r w:rsidRPr="000C5171">
        <w:rPr>
          <w:rFonts w:cs="Tahoma"/>
          <w:sz w:val="22"/>
          <w:szCs w:val="22"/>
        </w:rPr>
        <w:lastRenderedPageBreak/>
        <w:t>De lo reportado en el sistema SINERGIA, se tiene que el compromiso hecho con la MPC tiene un cumplimiento del 100%, y con el ENCP del 85,7%</w:t>
      </w:r>
      <w:r w:rsidRPr="000C5171">
        <w:rPr>
          <w:rStyle w:val="Refdenotaalpie"/>
          <w:rFonts w:cs="Arial"/>
          <w:color w:val="124F1A" w:themeColor="accent3" w:themeShade="BF"/>
          <w:sz w:val="22"/>
          <w:szCs w:val="22"/>
        </w:rPr>
        <w:footnoteReference w:id="33"/>
      </w:r>
      <w:r w:rsidRPr="000C5171">
        <w:rPr>
          <w:rFonts w:cs="Tahoma"/>
          <w:sz w:val="22"/>
          <w:szCs w:val="22"/>
        </w:rPr>
        <w:t xml:space="preserve">; por su parte con la MRA no se construyó una ficha técnica de medición, pero se tiene un reporte del 43% en avance de las iniciativas y de un 100% en cuanto al fortalecimiento técnico y operativo de los MEC. </w:t>
      </w:r>
    </w:p>
    <w:p w14:paraId="08C0E551" w14:textId="77777777" w:rsidR="00DE3C06" w:rsidRPr="000C5171" w:rsidRDefault="00DE3C06">
      <w:pPr>
        <w:pStyle w:val="Prrafodelista"/>
        <w:numPr>
          <w:ilvl w:val="2"/>
          <w:numId w:val="12"/>
        </w:numPr>
        <w:spacing w:line="276" w:lineRule="auto"/>
        <w:ind w:left="0" w:firstLine="0"/>
        <w:jc w:val="both"/>
        <w:rPr>
          <w:rFonts w:cs="Tahoma"/>
          <w:color w:val="0070C0"/>
          <w:sz w:val="22"/>
          <w:szCs w:val="22"/>
        </w:rPr>
      </w:pPr>
      <w:r w:rsidRPr="000C5171">
        <w:rPr>
          <w:rFonts w:cs="Tahoma"/>
          <w:color w:val="0070C0"/>
          <w:sz w:val="22"/>
          <w:szCs w:val="22"/>
        </w:rPr>
        <w:t>Compromisos en el marco del “Pacto por la Implementación del Capítulo Étnico del Acuerdo Final de Paz” – Vicepresidencia</w:t>
      </w:r>
    </w:p>
    <w:p w14:paraId="6B2A0248" w14:textId="77777777" w:rsidR="00DE3C06" w:rsidRPr="000C5171" w:rsidRDefault="00DE3C06" w:rsidP="00DE3C06">
      <w:pPr>
        <w:spacing w:line="276" w:lineRule="auto"/>
        <w:jc w:val="both"/>
        <w:rPr>
          <w:rFonts w:cs="Tahoma"/>
          <w:sz w:val="22"/>
          <w:szCs w:val="22"/>
        </w:rPr>
      </w:pPr>
      <w:r w:rsidRPr="000C5171">
        <w:rPr>
          <w:rFonts w:cs="Tahoma"/>
          <w:sz w:val="22"/>
          <w:szCs w:val="22"/>
        </w:rPr>
        <w:t>En el marco de las discusiones dadas en el denominado “Pacto por la Implementación del Capítulo Étnico del Acuerdo Final de Paz” coordinado por la Vicepresidencia de la República, la ART se comprometió a impulsar la implementación del enfoque étnico en el PDET. Para ello, se ratificaron los compromisos de avanzar con la ejecución de proyectos con enfoque étnico y de género, siendo este un indicador de la Agencia en el marco del Plan Nacional de Desarrollo, además de avanzar en el fortalecimiento de los pueblos y comunidades étnicas que participan del Mecanismo Especial de Consulta (MEC).</w:t>
      </w:r>
    </w:p>
    <w:p w14:paraId="45A6644A" w14:textId="77777777" w:rsidR="00DE3C06" w:rsidRPr="000C5171" w:rsidRDefault="00DE3C06" w:rsidP="00DE3C06">
      <w:pPr>
        <w:spacing w:line="276" w:lineRule="auto"/>
        <w:jc w:val="both"/>
        <w:rPr>
          <w:rFonts w:cs="Tahoma"/>
          <w:sz w:val="22"/>
          <w:szCs w:val="22"/>
        </w:rPr>
      </w:pPr>
      <w:r w:rsidRPr="000C5171">
        <w:rPr>
          <w:rFonts w:cs="Tahoma"/>
          <w:sz w:val="22"/>
          <w:szCs w:val="22"/>
        </w:rPr>
        <w:t xml:space="preserve">A continuación, se relacionan los indicadores a los cuales se hace seguimiento en virtud de los compromisos asumidos con la estrategia de impulso al capítulo étnico de la Vicepresidencia de la República, con su avance a marzo 2026: </w:t>
      </w:r>
    </w:p>
    <w:p w14:paraId="1B624686" w14:textId="77777777" w:rsidR="00DE3C06" w:rsidRPr="000C5171" w:rsidRDefault="00DE3C06" w:rsidP="00DE3C06">
      <w:pPr>
        <w:jc w:val="center"/>
        <w:rPr>
          <w:rFonts w:cs="Arial"/>
          <w:sz w:val="22"/>
          <w:szCs w:val="22"/>
        </w:rPr>
      </w:pPr>
      <w:r w:rsidRPr="000C5171">
        <w:rPr>
          <w:rFonts w:cs="Arial"/>
          <w:b/>
          <w:bCs/>
          <w:sz w:val="22"/>
          <w:szCs w:val="22"/>
        </w:rPr>
        <w:t>Tabla.9.</w:t>
      </w:r>
      <w:r w:rsidRPr="000C5171">
        <w:rPr>
          <w:rFonts w:cs="Arial"/>
          <w:sz w:val="22"/>
          <w:szCs w:val="22"/>
        </w:rPr>
        <w:t xml:space="preserve"> Reportes Vicepresidencia Estrategia de impulso “Pacto por la implementación Capítulo étnico” (Anexo 9) </w:t>
      </w:r>
      <w:r w:rsidRPr="000C5171">
        <w:rPr>
          <w:rStyle w:val="Refdenotaalpie"/>
          <w:rFonts w:cs="Arial"/>
          <w:sz w:val="22"/>
          <w:szCs w:val="22"/>
        </w:rPr>
        <w:footnoteReference w:id="34"/>
      </w:r>
    </w:p>
    <w:tbl>
      <w:tblPr>
        <w:tblW w:w="8989" w:type="dxa"/>
        <w:tblLook w:val="06A0" w:firstRow="1" w:lastRow="0" w:firstColumn="1" w:lastColumn="0" w:noHBand="1" w:noVBand="1"/>
      </w:tblPr>
      <w:tblGrid>
        <w:gridCol w:w="1641"/>
        <w:gridCol w:w="1369"/>
        <w:gridCol w:w="1376"/>
        <w:gridCol w:w="1159"/>
        <w:gridCol w:w="1774"/>
        <w:gridCol w:w="1670"/>
      </w:tblGrid>
      <w:tr w:rsidR="00DE3C06" w:rsidRPr="000C5171" w14:paraId="016773B5" w14:textId="77777777" w:rsidTr="008A49D0">
        <w:trPr>
          <w:trHeight w:val="135"/>
        </w:trPr>
        <w:tc>
          <w:tcPr>
            <w:tcW w:w="1653" w:type="dxa"/>
            <w:tcBorders>
              <w:top w:val="single" w:sz="4" w:space="0" w:color="auto"/>
              <w:left w:val="single" w:sz="4" w:space="0" w:color="auto"/>
              <w:bottom w:val="single" w:sz="4" w:space="0" w:color="auto"/>
              <w:right w:val="single" w:sz="4" w:space="0" w:color="auto"/>
            </w:tcBorders>
            <w:shd w:val="clear" w:color="auto" w:fill="C1F0C7"/>
            <w:vAlign w:val="center"/>
            <w:hideMark/>
          </w:tcPr>
          <w:p w14:paraId="24383BC7" w14:textId="77777777" w:rsidR="00DE3C06" w:rsidRPr="000C5171" w:rsidRDefault="00DE3C06" w:rsidP="008A49D0">
            <w:pPr>
              <w:spacing w:after="0" w:line="240" w:lineRule="auto"/>
              <w:jc w:val="center"/>
              <w:rPr>
                <w:rFonts w:cs="Arial"/>
                <w:color w:val="124F1A" w:themeColor="accent3" w:themeShade="BF"/>
                <w:sz w:val="18"/>
                <w:szCs w:val="18"/>
              </w:rPr>
            </w:pPr>
            <w:r w:rsidRPr="000C5171">
              <w:rPr>
                <w:rFonts w:cs="Arial"/>
                <w:b/>
                <w:color w:val="124F1A" w:themeColor="accent3" w:themeShade="BF"/>
                <w:sz w:val="18"/>
                <w:szCs w:val="18"/>
              </w:rPr>
              <w:t>Compromiso</w:t>
            </w:r>
          </w:p>
        </w:tc>
        <w:tc>
          <w:tcPr>
            <w:tcW w:w="1382" w:type="dxa"/>
            <w:tcBorders>
              <w:top w:val="single" w:sz="4" w:space="0" w:color="auto"/>
              <w:left w:val="single" w:sz="4" w:space="0" w:color="auto"/>
              <w:bottom w:val="single" w:sz="4" w:space="0" w:color="auto"/>
              <w:right w:val="single" w:sz="4" w:space="0" w:color="auto"/>
            </w:tcBorders>
            <w:shd w:val="clear" w:color="auto" w:fill="C1F0C7"/>
            <w:vAlign w:val="center"/>
            <w:hideMark/>
          </w:tcPr>
          <w:p w14:paraId="1C5A0482" w14:textId="77777777" w:rsidR="00DE3C06" w:rsidRPr="000C5171" w:rsidRDefault="00DE3C06" w:rsidP="008A49D0">
            <w:pPr>
              <w:spacing w:after="0" w:line="240" w:lineRule="auto"/>
              <w:jc w:val="center"/>
              <w:rPr>
                <w:rFonts w:cs="Arial"/>
                <w:b/>
                <w:color w:val="124F1A" w:themeColor="accent3" w:themeShade="BF"/>
                <w:sz w:val="18"/>
                <w:szCs w:val="18"/>
              </w:rPr>
            </w:pPr>
            <w:r w:rsidRPr="000C5171">
              <w:rPr>
                <w:rFonts w:cs="Arial"/>
                <w:b/>
                <w:color w:val="124F1A" w:themeColor="accent3" w:themeShade="BF"/>
                <w:sz w:val="18"/>
                <w:szCs w:val="18"/>
              </w:rPr>
              <w:t>Meta</w:t>
            </w:r>
          </w:p>
          <w:p w14:paraId="446BA014" w14:textId="77777777" w:rsidR="00DE3C06" w:rsidRPr="000C5171" w:rsidRDefault="00DE3C06" w:rsidP="008A49D0">
            <w:pPr>
              <w:spacing w:after="0" w:line="240" w:lineRule="auto"/>
              <w:jc w:val="center"/>
              <w:rPr>
                <w:rFonts w:cs="Arial"/>
                <w:color w:val="124F1A" w:themeColor="accent3" w:themeShade="BF"/>
                <w:sz w:val="18"/>
                <w:szCs w:val="18"/>
              </w:rPr>
            </w:pPr>
            <w:r w:rsidRPr="000C5171">
              <w:rPr>
                <w:rFonts w:cs="Arial"/>
                <w:b/>
                <w:color w:val="124F1A" w:themeColor="accent3" w:themeShade="BF"/>
                <w:sz w:val="18"/>
                <w:szCs w:val="18"/>
              </w:rPr>
              <w:t xml:space="preserve"> 2024 - 2026</w:t>
            </w:r>
          </w:p>
        </w:tc>
        <w:tc>
          <w:tcPr>
            <w:tcW w:w="1381" w:type="dxa"/>
            <w:tcBorders>
              <w:top w:val="single" w:sz="4" w:space="0" w:color="auto"/>
              <w:left w:val="single" w:sz="4" w:space="0" w:color="auto"/>
              <w:bottom w:val="single" w:sz="4" w:space="0" w:color="auto"/>
              <w:right w:val="single" w:sz="4" w:space="0" w:color="auto"/>
            </w:tcBorders>
            <w:shd w:val="clear" w:color="auto" w:fill="C1F0C7"/>
            <w:vAlign w:val="center"/>
            <w:hideMark/>
          </w:tcPr>
          <w:p w14:paraId="6FE90996" w14:textId="77777777" w:rsidR="00DE3C06" w:rsidRPr="000C5171" w:rsidRDefault="00DE3C06" w:rsidP="008A49D0">
            <w:pPr>
              <w:spacing w:after="0" w:line="240" w:lineRule="auto"/>
              <w:jc w:val="center"/>
              <w:rPr>
                <w:rFonts w:cs="Arial"/>
                <w:color w:val="124F1A" w:themeColor="accent3" w:themeShade="BF"/>
                <w:sz w:val="18"/>
                <w:szCs w:val="18"/>
              </w:rPr>
            </w:pPr>
            <w:r w:rsidRPr="000C5171">
              <w:rPr>
                <w:rFonts w:cs="Arial"/>
                <w:b/>
                <w:color w:val="124F1A" w:themeColor="accent3" w:themeShade="BF"/>
                <w:sz w:val="18"/>
                <w:szCs w:val="18"/>
              </w:rPr>
              <w:t>Avance Cuantitativo marzo 2026</w:t>
            </w:r>
            <w:r w:rsidRPr="000C5171">
              <w:rPr>
                <w:rFonts w:cs="Arial"/>
                <w:b/>
                <w:color w:val="124F1A" w:themeColor="accent3" w:themeShade="BF"/>
                <w:sz w:val="18"/>
                <w:szCs w:val="18"/>
              </w:rPr>
              <w:br/>
            </w:r>
          </w:p>
        </w:tc>
        <w:tc>
          <w:tcPr>
            <w:tcW w:w="1105" w:type="dxa"/>
            <w:tcBorders>
              <w:top w:val="single" w:sz="4" w:space="0" w:color="auto"/>
              <w:left w:val="single" w:sz="4" w:space="0" w:color="auto"/>
              <w:bottom w:val="single" w:sz="4" w:space="0" w:color="auto"/>
              <w:right w:val="single" w:sz="4" w:space="0" w:color="auto"/>
            </w:tcBorders>
            <w:shd w:val="clear" w:color="auto" w:fill="C1F0C7"/>
            <w:vAlign w:val="center"/>
            <w:hideMark/>
          </w:tcPr>
          <w:p w14:paraId="5A21B607" w14:textId="77777777" w:rsidR="00DE3C06" w:rsidRPr="000C5171" w:rsidRDefault="00DE3C06" w:rsidP="008A49D0">
            <w:pPr>
              <w:spacing w:after="0" w:line="240" w:lineRule="auto"/>
              <w:jc w:val="center"/>
              <w:rPr>
                <w:rFonts w:cs="Arial"/>
                <w:color w:val="124F1A" w:themeColor="accent3" w:themeShade="BF"/>
                <w:sz w:val="18"/>
                <w:szCs w:val="18"/>
              </w:rPr>
            </w:pPr>
            <w:r w:rsidRPr="000C5171">
              <w:rPr>
                <w:rFonts w:cs="Arial"/>
                <w:b/>
                <w:color w:val="124F1A" w:themeColor="accent3" w:themeShade="BF"/>
                <w:sz w:val="18"/>
                <w:szCs w:val="18"/>
              </w:rPr>
              <w:t>% Acumulado</w:t>
            </w:r>
          </w:p>
        </w:tc>
        <w:tc>
          <w:tcPr>
            <w:tcW w:w="1796" w:type="dxa"/>
            <w:tcBorders>
              <w:top w:val="single" w:sz="4" w:space="0" w:color="auto"/>
              <w:left w:val="single" w:sz="4" w:space="0" w:color="auto"/>
              <w:bottom w:val="single" w:sz="4" w:space="0" w:color="auto"/>
              <w:right w:val="single" w:sz="4" w:space="0" w:color="auto"/>
            </w:tcBorders>
            <w:shd w:val="clear" w:color="auto" w:fill="C1F0C7"/>
            <w:vAlign w:val="center"/>
            <w:hideMark/>
          </w:tcPr>
          <w:p w14:paraId="5A51122B" w14:textId="77777777" w:rsidR="00DE3C06" w:rsidRPr="000C5171" w:rsidRDefault="00DE3C06" w:rsidP="008A49D0">
            <w:pPr>
              <w:spacing w:after="0" w:line="240" w:lineRule="auto"/>
              <w:jc w:val="center"/>
              <w:rPr>
                <w:rFonts w:cs="Arial"/>
                <w:color w:val="124F1A" w:themeColor="accent3" w:themeShade="BF"/>
                <w:sz w:val="18"/>
                <w:szCs w:val="18"/>
              </w:rPr>
            </w:pPr>
            <w:r w:rsidRPr="000C5171">
              <w:rPr>
                <w:rFonts w:cs="Arial"/>
                <w:b/>
                <w:color w:val="124F1A" w:themeColor="accent3" w:themeShade="BF"/>
                <w:sz w:val="18"/>
                <w:szCs w:val="18"/>
              </w:rPr>
              <w:t xml:space="preserve">Avance Cualitativo Tercer Trimestre 2025 </w:t>
            </w:r>
          </w:p>
        </w:tc>
        <w:tc>
          <w:tcPr>
            <w:tcW w:w="1672" w:type="dxa"/>
            <w:tcBorders>
              <w:top w:val="single" w:sz="4" w:space="0" w:color="auto"/>
              <w:left w:val="single" w:sz="4" w:space="0" w:color="auto"/>
              <w:bottom w:val="single" w:sz="4" w:space="0" w:color="auto"/>
              <w:right w:val="single" w:sz="4" w:space="0" w:color="auto"/>
            </w:tcBorders>
            <w:shd w:val="clear" w:color="auto" w:fill="C1F0C7"/>
            <w:vAlign w:val="center"/>
            <w:hideMark/>
          </w:tcPr>
          <w:p w14:paraId="7332DD7A" w14:textId="77777777" w:rsidR="00DE3C06" w:rsidRPr="000C5171" w:rsidRDefault="00DE3C06" w:rsidP="008A49D0">
            <w:pPr>
              <w:spacing w:after="0" w:line="240" w:lineRule="auto"/>
              <w:jc w:val="center"/>
              <w:rPr>
                <w:rFonts w:cs="Arial"/>
                <w:color w:val="124F1A" w:themeColor="accent3" w:themeShade="BF"/>
                <w:sz w:val="18"/>
                <w:szCs w:val="18"/>
              </w:rPr>
            </w:pPr>
            <w:r w:rsidRPr="000C5171">
              <w:rPr>
                <w:rFonts w:cs="Arial"/>
                <w:b/>
                <w:color w:val="124F1A" w:themeColor="accent3" w:themeShade="BF"/>
                <w:sz w:val="18"/>
                <w:szCs w:val="18"/>
              </w:rPr>
              <w:t>Avance acumulado en el Primer Trimestre 2026</w:t>
            </w:r>
          </w:p>
        </w:tc>
      </w:tr>
      <w:tr w:rsidR="00DE3C06" w:rsidRPr="000C5171" w14:paraId="57075F68" w14:textId="77777777" w:rsidTr="008A49D0">
        <w:trPr>
          <w:trHeight w:val="301"/>
        </w:trPr>
        <w:tc>
          <w:tcPr>
            <w:tcW w:w="1653" w:type="dxa"/>
            <w:tcBorders>
              <w:top w:val="single" w:sz="4" w:space="0" w:color="auto"/>
              <w:left w:val="single" w:sz="4" w:space="0" w:color="auto"/>
              <w:bottom w:val="single" w:sz="4" w:space="0" w:color="auto"/>
              <w:right w:val="single" w:sz="4" w:space="0" w:color="auto"/>
            </w:tcBorders>
            <w:vAlign w:val="center"/>
            <w:hideMark/>
          </w:tcPr>
          <w:p w14:paraId="78CE86E5" w14:textId="77777777" w:rsidR="00DE3C06" w:rsidRPr="000C5171" w:rsidRDefault="00DE3C06" w:rsidP="008A49D0">
            <w:pPr>
              <w:spacing w:after="0"/>
              <w:jc w:val="center"/>
              <w:rPr>
                <w:rFonts w:eastAsia="Verdana" w:cs="Arial"/>
                <w:bCs/>
                <w:color w:val="124F1A" w:themeColor="accent3" w:themeShade="BF"/>
                <w:sz w:val="18"/>
                <w:szCs w:val="18"/>
              </w:rPr>
            </w:pPr>
            <w:r w:rsidRPr="000C5171">
              <w:rPr>
                <w:rFonts w:eastAsia="Verdana" w:cs="Arial"/>
                <w:bCs/>
                <w:color w:val="124F1A" w:themeColor="accent3" w:themeShade="BF"/>
                <w:sz w:val="18"/>
                <w:szCs w:val="18"/>
              </w:rPr>
              <w:t>*</w:t>
            </w:r>
          </w:p>
        </w:tc>
        <w:tc>
          <w:tcPr>
            <w:tcW w:w="1382" w:type="dxa"/>
            <w:tcBorders>
              <w:top w:val="single" w:sz="4" w:space="0" w:color="auto"/>
              <w:left w:val="single" w:sz="4" w:space="0" w:color="auto"/>
              <w:bottom w:val="single" w:sz="4" w:space="0" w:color="auto"/>
              <w:right w:val="single" w:sz="4" w:space="0" w:color="auto"/>
            </w:tcBorders>
            <w:vAlign w:val="center"/>
            <w:hideMark/>
          </w:tcPr>
          <w:p w14:paraId="2619FC79" w14:textId="77777777" w:rsidR="00DE3C06" w:rsidRPr="000C5171" w:rsidRDefault="00DE3C06" w:rsidP="008A49D0">
            <w:pPr>
              <w:spacing w:after="0"/>
              <w:jc w:val="center"/>
              <w:rPr>
                <w:rFonts w:eastAsia="Verdana" w:cs="Arial"/>
                <w:bCs/>
                <w:color w:val="124F1A" w:themeColor="accent3" w:themeShade="BF"/>
                <w:sz w:val="18"/>
                <w:szCs w:val="18"/>
              </w:rPr>
            </w:pPr>
            <w:r w:rsidRPr="000C5171">
              <w:rPr>
                <w:rFonts w:eastAsia="Verdana" w:cs="Arial"/>
                <w:bCs/>
                <w:color w:val="124F1A" w:themeColor="accent3" w:themeShade="BF"/>
                <w:sz w:val="18"/>
                <w:szCs w:val="18"/>
              </w:rPr>
              <w:t>151</w:t>
            </w:r>
          </w:p>
          <w:p w14:paraId="4DF787F2" w14:textId="77777777" w:rsidR="00DE3C06" w:rsidRPr="000C5171" w:rsidRDefault="00DE3C06" w:rsidP="008A49D0">
            <w:pPr>
              <w:spacing w:after="0"/>
              <w:jc w:val="center"/>
              <w:rPr>
                <w:rFonts w:eastAsia="Verdana" w:cs="Arial"/>
                <w:bCs/>
                <w:color w:val="124F1A" w:themeColor="accent3" w:themeShade="BF"/>
                <w:sz w:val="18"/>
                <w:szCs w:val="18"/>
              </w:rPr>
            </w:pPr>
            <w:r w:rsidRPr="000C5171">
              <w:rPr>
                <w:rFonts w:cs="Arial"/>
                <w:bCs/>
                <w:color w:val="124F1A" w:themeColor="accent3" w:themeShade="BF"/>
                <w:sz w:val="18"/>
                <w:szCs w:val="18"/>
              </w:rPr>
              <w:t>proyectos</w:t>
            </w:r>
          </w:p>
        </w:tc>
        <w:tc>
          <w:tcPr>
            <w:tcW w:w="1381" w:type="dxa"/>
            <w:tcBorders>
              <w:top w:val="single" w:sz="4" w:space="0" w:color="auto"/>
              <w:left w:val="single" w:sz="4" w:space="0" w:color="auto"/>
              <w:bottom w:val="single" w:sz="4" w:space="0" w:color="auto"/>
              <w:right w:val="single" w:sz="4" w:space="0" w:color="auto"/>
            </w:tcBorders>
            <w:vAlign w:val="center"/>
            <w:hideMark/>
          </w:tcPr>
          <w:p w14:paraId="2C272E86" w14:textId="77777777" w:rsidR="00DE3C06" w:rsidRPr="000C5171" w:rsidRDefault="00DE3C06" w:rsidP="008A49D0">
            <w:pPr>
              <w:spacing w:after="0"/>
              <w:jc w:val="center"/>
              <w:rPr>
                <w:rFonts w:eastAsia="Verdana" w:cs="Arial"/>
                <w:bCs/>
                <w:color w:val="124F1A" w:themeColor="accent3" w:themeShade="BF"/>
                <w:sz w:val="18"/>
                <w:szCs w:val="18"/>
              </w:rPr>
            </w:pPr>
            <w:r w:rsidRPr="000C5171">
              <w:rPr>
                <w:rFonts w:eastAsia="Verdana" w:cs="Arial"/>
                <w:bCs/>
                <w:color w:val="124F1A" w:themeColor="accent3" w:themeShade="BF"/>
                <w:sz w:val="18"/>
                <w:szCs w:val="18"/>
              </w:rPr>
              <w:t>138</w:t>
            </w:r>
          </w:p>
          <w:p w14:paraId="76309BD3" w14:textId="77777777" w:rsidR="00DE3C06" w:rsidRPr="000C5171" w:rsidRDefault="00DE3C06" w:rsidP="008A49D0">
            <w:pPr>
              <w:spacing w:after="0"/>
              <w:jc w:val="center"/>
              <w:rPr>
                <w:rFonts w:eastAsia="Verdana" w:cs="Arial"/>
                <w:bCs/>
                <w:color w:val="124F1A" w:themeColor="accent3" w:themeShade="BF"/>
                <w:sz w:val="18"/>
                <w:szCs w:val="18"/>
              </w:rPr>
            </w:pPr>
            <w:r w:rsidRPr="000C5171">
              <w:rPr>
                <w:rFonts w:cs="Arial"/>
                <w:bCs/>
                <w:color w:val="124F1A" w:themeColor="accent3" w:themeShade="BF"/>
                <w:sz w:val="18"/>
                <w:szCs w:val="18"/>
              </w:rPr>
              <w:t>proyectos</w:t>
            </w:r>
          </w:p>
        </w:tc>
        <w:tc>
          <w:tcPr>
            <w:tcW w:w="1105" w:type="dxa"/>
            <w:tcBorders>
              <w:top w:val="single" w:sz="4" w:space="0" w:color="auto"/>
              <w:left w:val="single" w:sz="4" w:space="0" w:color="auto"/>
              <w:bottom w:val="single" w:sz="4" w:space="0" w:color="auto"/>
              <w:right w:val="single" w:sz="4" w:space="0" w:color="auto"/>
            </w:tcBorders>
            <w:vAlign w:val="center"/>
            <w:hideMark/>
          </w:tcPr>
          <w:p w14:paraId="41D6E2FE" w14:textId="77777777" w:rsidR="00DE3C06" w:rsidRPr="000C5171" w:rsidRDefault="00DE3C06" w:rsidP="008A49D0">
            <w:pPr>
              <w:spacing w:after="0"/>
              <w:jc w:val="center"/>
              <w:rPr>
                <w:rFonts w:eastAsia="Verdana" w:cs="Arial"/>
                <w:bCs/>
                <w:color w:val="124F1A" w:themeColor="accent3" w:themeShade="BF"/>
                <w:sz w:val="18"/>
                <w:szCs w:val="18"/>
              </w:rPr>
            </w:pPr>
            <w:r w:rsidRPr="000C5171">
              <w:rPr>
                <w:rFonts w:eastAsia="Verdana" w:cs="Arial"/>
                <w:bCs/>
                <w:color w:val="124F1A" w:themeColor="accent3" w:themeShade="BF"/>
                <w:sz w:val="18"/>
                <w:szCs w:val="18"/>
              </w:rPr>
              <w:t>91%</w:t>
            </w:r>
          </w:p>
        </w:tc>
        <w:tc>
          <w:tcPr>
            <w:tcW w:w="1796" w:type="dxa"/>
            <w:tcBorders>
              <w:top w:val="single" w:sz="4" w:space="0" w:color="auto"/>
              <w:left w:val="single" w:sz="4" w:space="0" w:color="auto"/>
              <w:bottom w:val="single" w:sz="4" w:space="0" w:color="auto"/>
              <w:right w:val="single" w:sz="4" w:space="0" w:color="auto"/>
            </w:tcBorders>
            <w:vAlign w:val="center"/>
            <w:hideMark/>
          </w:tcPr>
          <w:p w14:paraId="6BCEEF21" w14:textId="77777777" w:rsidR="00DE3C06" w:rsidRPr="000C5171" w:rsidRDefault="00DE3C06" w:rsidP="008A49D0">
            <w:pPr>
              <w:spacing w:after="0"/>
              <w:rPr>
                <w:rFonts w:eastAsia="Verdana" w:cs="Arial"/>
                <w:bCs/>
                <w:color w:val="124F1A" w:themeColor="accent3" w:themeShade="BF"/>
                <w:sz w:val="18"/>
                <w:szCs w:val="18"/>
              </w:rPr>
            </w:pPr>
            <w:r w:rsidRPr="000C5171">
              <w:rPr>
                <w:rFonts w:eastAsia="Verdana" w:cs="Arial"/>
                <w:bCs/>
                <w:color w:val="124F1A" w:themeColor="accent3" w:themeShade="BF"/>
                <w:sz w:val="18"/>
                <w:szCs w:val="18"/>
              </w:rPr>
              <w:t>**</w:t>
            </w:r>
          </w:p>
        </w:tc>
        <w:tc>
          <w:tcPr>
            <w:tcW w:w="1672" w:type="dxa"/>
            <w:tcBorders>
              <w:top w:val="single" w:sz="4" w:space="0" w:color="auto"/>
              <w:left w:val="single" w:sz="4" w:space="0" w:color="auto"/>
              <w:bottom w:val="single" w:sz="4" w:space="0" w:color="auto"/>
              <w:right w:val="single" w:sz="4" w:space="0" w:color="auto"/>
            </w:tcBorders>
            <w:vAlign w:val="center"/>
            <w:hideMark/>
          </w:tcPr>
          <w:p w14:paraId="7CB8C26A" w14:textId="77777777" w:rsidR="00DE3C06" w:rsidRPr="000C5171" w:rsidRDefault="00DE3C06" w:rsidP="008A49D0">
            <w:pPr>
              <w:spacing w:after="0"/>
              <w:jc w:val="right"/>
              <w:rPr>
                <w:rFonts w:eastAsia="Verdana" w:cs="Arial"/>
                <w:bCs/>
                <w:color w:val="124F1A" w:themeColor="accent3" w:themeShade="BF"/>
                <w:sz w:val="18"/>
                <w:szCs w:val="18"/>
              </w:rPr>
            </w:pPr>
            <w:r w:rsidRPr="000C5171">
              <w:rPr>
                <w:rFonts w:eastAsia="Verdana" w:cs="Arial"/>
                <w:bCs/>
                <w:color w:val="124F1A" w:themeColor="accent3" w:themeShade="BF"/>
                <w:sz w:val="18"/>
                <w:szCs w:val="18"/>
              </w:rPr>
              <w:t>$251.780.719.446</w:t>
            </w:r>
          </w:p>
        </w:tc>
      </w:tr>
    </w:tbl>
    <w:p w14:paraId="50E3FF35" w14:textId="77777777" w:rsidR="00DE3C06" w:rsidRPr="000C5171" w:rsidRDefault="00DE3C06" w:rsidP="00DE3C06">
      <w:pPr>
        <w:spacing w:after="0" w:line="276" w:lineRule="auto"/>
        <w:jc w:val="both"/>
        <w:rPr>
          <w:rFonts w:cs="Tahoma"/>
          <w:sz w:val="16"/>
          <w:szCs w:val="16"/>
        </w:rPr>
      </w:pPr>
      <w:r w:rsidRPr="000C5171">
        <w:rPr>
          <w:rFonts w:cs="Tahoma"/>
          <w:sz w:val="16"/>
          <w:szCs w:val="16"/>
        </w:rPr>
        <w:t xml:space="preserve">       </w:t>
      </w:r>
      <w:r w:rsidRPr="000C5171">
        <w:rPr>
          <w:rFonts w:eastAsia="Verdana" w:cs="Arial"/>
          <w:sz w:val="16"/>
          <w:szCs w:val="16"/>
        </w:rPr>
        <w:t>* En el cuadro se indica el compromiso por cada indicador: “Número de proyectos asociados a iniciativas (…)”</w:t>
      </w:r>
    </w:p>
    <w:p w14:paraId="55C279B5" w14:textId="77777777" w:rsidR="00DE3C06" w:rsidRPr="000C5171" w:rsidRDefault="00DE3C06" w:rsidP="00DE3C06">
      <w:pPr>
        <w:spacing w:after="0" w:line="276" w:lineRule="auto"/>
        <w:ind w:left="284"/>
        <w:jc w:val="both"/>
        <w:rPr>
          <w:rFonts w:cs="Tahoma"/>
          <w:sz w:val="16"/>
          <w:szCs w:val="16"/>
        </w:rPr>
      </w:pPr>
      <w:r w:rsidRPr="000C5171">
        <w:rPr>
          <w:rFonts w:cs="Arial"/>
          <w:sz w:val="16"/>
          <w:szCs w:val="16"/>
        </w:rPr>
        <w:t xml:space="preserve">** El avance Cualitativo Tercer Trimestre 2025: </w:t>
      </w:r>
      <w:r w:rsidRPr="000C5171">
        <w:rPr>
          <w:rFonts w:eastAsia="Verdana" w:cs="Arial"/>
          <w:sz w:val="16"/>
          <w:szCs w:val="16"/>
        </w:rPr>
        <w:t>Corresponde al avance acumulado del número de proyectos en ejecución desde el 2023 hasta marzo 2026 asociados cada indicador / compromiso</w:t>
      </w:r>
    </w:p>
    <w:p w14:paraId="20C3EC59" w14:textId="77777777" w:rsidR="00DE3C06" w:rsidRPr="000C5171" w:rsidRDefault="00DE3C06" w:rsidP="00DE3C06">
      <w:pPr>
        <w:spacing w:line="276" w:lineRule="auto"/>
        <w:ind w:left="4248" w:hanging="4957"/>
        <w:jc w:val="center"/>
        <w:rPr>
          <w:rFonts w:cs="Tahoma"/>
          <w:sz w:val="20"/>
          <w:szCs w:val="20"/>
        </w:rPr>
      </w:pPr>
      <w:r w:rsidRPr="000C5171">
        <w:rPr>
          <w:rFonts w:cs="Tahoma"/>
          <w:sz w:val="20"/>
          <w:szCs w:val="20"/>
        </w:rPr>
        <w:t>Fuente: Propia ART</w:t>
      </w:r>
    </w:p>
    <w:p w14:paraId="174ED2C6" w14:textId="77777777" w:rsidR="00DE3C06" w:rsidRPr="000C5171" w:rsidRDefault="00DE3C06" w:rsidP="00DE3C06">
      <w:pPr>
        <w:spacing w:line="276" w:lineRule="auto"/>
        <w:jc w:val="both"/>
        <w:rPr>
          <w:rFonts w:cs="Tahoma"/>
          <w:sz w:val="22"/>
          <w:szCs w:val="22"/>
        </w:rPr>
      </w:pPr>
      <w:r w:rsidRPr="000C5171">
        <w:rPr>
          <w:rFonts w:cs="Tahoma"/>
          <w:sz w:val="22"/>
          <w:szCs w:val="22"/>
        </w:rPr>
        <w:t xml:space="preserve">Vale la pena resaltar que de manera periódica se remiten informes de cumplimiento de los compromisos al despacho de la Vicepresidencia de la República, con quienes también se tienen reuniones para detallar los avances que se tienen. </w:t>
      </w:r>
    </w:p>
    <w:p w14:paraId="45F8B17F" w14:textId="77777777" w:rsidR="00DE3C06" w:rsidRPr="000C5171" w:rsidRDefault="00DE3C06" w:rsidP="00DE3C06">
      <w:pPr>
        <w:spacing w:line="276" w:lineRule="auto"/>
        <w:jc w:val="both"/>
        <w:rPr>
          <w:rFonts w:cs="Tahoma"/>
          <w:sz w:val="22"/>
          <w:szCs w:val="22"/>
        </w:rPr>
      </w:pPr>
      <w:r w:rsidRPr="000C5171">
        <w:rPr>
          <w:rFonts w:cs="Tahoma"/>
          <w:sz w:val="22"/>
          <w:szCs w:val="22"/>
        </w:rPr>
        <w:t xml:space="preserve">Las metas establecidas corresponden a una programación de 151 proyectos asociados a recursos del Presupuesto General de la Nación que recibe de manera directa la ART y de </w:t>
      </w:r>
      <w:r w:rsidRPr="000C5171">
        <w:rPr>
          <w:rFonts w:cs="Tahoma"/>
          <w:sz w:val="22"/>
          <w:szCs w:val="22"/>
        </w:rPr>
        <w:lastRenderedPageBreak/>
        <w:t>recursos de la subcuenta PDET del Fondo Colombia en Paz (FCP), de los cuales se ha cumplido con 138 por un valor de $252.780 millones, lo que corresponde a un cumplimiento del 91%. Vale la pena aclarar que se ha avanzado satisfactoriamente, pese a la afectación de recursos que impactó directamente en la financiación de proyectos, especialmente aquellos asignados a la subcuenta PDET del FCP. A la fecha están en contratación 10 proyectos más por valor de $5 mil millones de pesos.</w:t>
      </w:r>
    </w:p>
    <w:p w14:paraId="70BE3E7C" w14:textId="77777777" w:rsidR="00DE3C06" w:rsidRPr="000C5171" w:rsidRDefault="00DE3C06" w:rsidP="00DE3C06">
      <w:pPr>
        <w:spacing w:line="276" w:lineRule="auto"/>
        <w:jc w:val="both"/>
        <w:rPr>
          <w:rFonts w:cs="Tahoma"/>
          <w:sz w:val="22"/>
          <w:szCs w:val="22"/>
        </w:rPr>
      </w:pPr>
    </w:p>
    <w:p w14:paraId="4D7003B9" w14:textId="77777777" w:rsidR="00DE3C06" w:rsidRPr="000C5171" w:rsidRDefault="00DE3C06">
      <w:pPr>
        <w:pStyle w:val="Prrafodelista"/>
        <w:numPr>
          <w:ilvl w:val="2"/>
          <w:numId w:val="12"/>
        </w:numPr>
        <w:spacing w:line="276" w:lineRule="auto"/>
        <w:ind w:left="0" w:firstLine="0"/>
        <w:jc w:val="both"/>
        <w:rPr>
          <w:rFonts w:cs="Tahoma"/>
          <w:color w:val="0070C0"/>
          <w:sz w:val="22"/>
          <w:szCs w:val="22"/>
        </w:rPr>
      </w:pPr>
      <w:r w:rsidRPr="000C5171">
        <w:rPr>
          <w:rFonts w:cs="Tahoma"/>
          <w:color w:val="0070C0"/>
          <w:sz w:val="22"/>
          <w:szCs w:val="22"/>
        </w:rPr>
        <w:t>Compromiso hecho con la Instancia Especial de Alto Nivel de Pueblos Étnicos (IEANPE)</w:t>
      </w:r>
    </w:p>
    <w:p w14:paraId="5D4BA09B" w14:textId="77777777" w:rsidR="00DE3C06" w:rsidRPr="000C5171" w:rsidRDefault="00DE3C06" w:rsidP="00DE3C06">
      <w:pPr>
        <w:spacing w:before="100" w:beforeAutospacing="1" w:after="100" w:afterAutospacing="1" w:line="276" w:lineRule="auto"/>
        <w:jc w:val="both"/>
        <w:rPr>
          <w:rFonts w:cs="Tahoma"/>
          <w:sz w:val="22"/>
          <w:szCs w:val="22"/>
        </w:rPr>
      </w:pPr>
      <w:r w:rsidRPr="000C5171">
        <w:rPr>
          <w:rFonts w:cs="Tahoma"/>
          <w:sz w:val="22"/>
          <w:szCs w:val="22"/>
        </w:rPr>
        <w:t xml:space="preserve">La ART acordó con la Instancia Especial de Alto Nivel con Pueblos Étnicos (IEANPE) que el </w:t>
      </w:r>
      <w:r w:rsidRPr="000C5171">
        <w:rPr>
          <w:rFonts w:cs="Tahoma"/>
          <w:b/>
          <w:bCs/>
          <w:sz w:val="22"/>
          <w:szCs w:val="22"/>
        </w:rPr>
        <w:t>30% de los recursos de inversión</w:t>
      </w:r>
      <w:r w:rsidRPr="000C5171">
        <w:rPr>
          <w:rFonts w:cs="Tahoma"/>
          <w:sz w:val="22"/>
          <w:szCs w:val="22"/>
        </w:rPr>
        <w:t xml:space="preserve"> de la entidad, destinados a proyectos de mediana y baja complejidad, se asignarían a la financiación (implementación) de proyectos validados y concertados con los MEC.</w:t>
      </w:r>
    </w:p>
    <w:p w14:paraId="395D3054" w14:textId="77777777" w:rsidR="00DE3C06" w:rsidRPr="000C5171" w:rsidRDefault="00DE3C06" w:rsidP="00DE3C06">
      <w:pPr>
        <w:spacing w:before="100" w:beforeAutospacing="1" w:after="100" w:afterAutospacing="1" w:line="276" w:lineRule="auto"/>
        <w:jc w:val="both"/>
        <w:rPr>
          <w:rFonts w:cs="Tahoma"/>
          <w:sz w:val="22"/>
          <w:szCs w:val="22"/>
        </w:rPr>
      </w:pPr>
      <w:r w:rsidRPr="000C5171">
        <w:rPr>
          <w:rFonts w:cs="Tahoma"/>
          <w:sz w:val="22"/>
          <w:szCs w:val="22"/>
        </w:rPr>
        <w:t>Frente a este compromiso se informa que a junio de 2026 se tienen financiados 102 proyectos por un valor de $</w:t>
      </w:r>
      <w:r w:rsidRPr="000C5171">
        <w:rPr>
          <w:rFonts w:eastAsia="Times New Roman" w:cs="Calibri"/>
          <w:b/>
          <w:bCs/>
          <w:lang w:eastAsia="es-ES_tradnl"/>
        </w:rPr>
        <w:t xml:space="preserve">$187.980 </w:t>
      </w:r>
      <w:r w:rsidRPr="000C5171">
        <w:rPr>
          <w:rFonts w:cs="Tahoma"/>
          <w:sz w:val="22"/>
          <w:szCs w:val="22"/>
        </w:rPr>
        <w:t xml:space="preserve">millones que junto con el valor de seguimiento y la inversión de la estrategia de estructuradores se llega a un 31% de la inversión con los recursos que efectivamente se han recibido para proyectos de mediana y baja complejidad. </w:t>
      </w:r>
    </w:p>
    <w:p w14:paraId="4713CE12" w14:textId="77777777" w:rsidR="00DE3C06" w:rsidRPr="000C5171" w:rsidRDefault="00DE3C06" w:rsidP="00DE3C06">
      <w:pPr>
        <w:pStyle w:val="Prrafodelista"/>
        <w:spacing w:line="276" w:lineRule="auto"/>
        <w:ind w:left="480"/>
        <w:jc w:val="center"/>
        <w:rPr>
          <w:rFonts w:cs="Tahoma"/>
          <w:sz w:val="20"/>
          <w:szCs w:val="20"/>
        </w:rPr>
      </w:pPr>
      <w:r w:rsidRPr="000C5171">
        <w:rPr>
          <w:rFonts w:cs="Tahoma"/>
          <w:b/>
          <w:bCs/>
          <w:sz w:val="20"/>
          <w:szCs w:val="20"/>
        </w:rPr>
        <w:t>Tabla 11.</w:t>
      </w:r>
      <w:r w:rsidRPr="000C5171">
        <w:rPr>
          <w:rFonts w:cs="Tahoma"/>
          <w:sz w:val="20"/>
          <w:szCs w:val="20"/>
        </w:rPr>
        <w:t xml:space="preserve">  Recursos destinados a financiación de proyectos concertados con los MEC</w:t>
      </w:r>
    </w:p>
    <w:tbl>
      <w:tblPr>
        <w:tblW w:w="9150" w:type="dxa"/>
        <w:tblInd w:w="-10" w:type="dxa"/>
        <w:tblCellMar>
          <w:left w:w="0" w:type="dxa"/>
          <w:right w:w="0" w:type="dxa"/>
        </w:tblCellMar>
        <w:tblLook w:val="04A0" w:firstRow="1" w:lastRow="0" w:firstColumn="1" w:lastColumn="0" w:noHBand="0" w:noVBand="1"/>
      </w:tblPr>
      <w:tblGrid>
        <w:gridCol w:w="4898"/>
        <w:gridCol w:w="2565"/>
        <w:gridCol w:w="1687"/>
      </w:tblGrid>
      <w:tr w:rsidR="00DE3C06" w:rsidRPr="000C5171" w14:paraId="1665CFF5" w14:textId="77777777" w:rsidTr="008A49D0">
        <w:trPr>
          <w:trHeight w:val="80"/>
        </w:trPr>
        <w:tc>
          <w:tcPr>
            <w:tcW w:w="4898" w:type="dxa"/>
            <w:tcBorders>
              <w:top w:val="single" w:sz="8" w:space="0" w:color="000000"/>
              <w:left w:val="single" w:sz="8" w:space="0" w:color="000000"/>
              <w:bottom w:val="single" w:sz="8" w:space="0" w:color="000000"/>
              <w:right w:val="single" w:sz="8" w:space="0" w:color="000000"/>
            </w:tcBorders>
            <w:shd w:val="clear" w:color="auto" w:fill="C1F0C7"/>
            <w:tcMar>
              <w:top w:w="10" w:type="dxa"/>
              <w:left w:w="10" w:type="dxa"/>
              <w:bottom w:w="0" w:type="dxa"/>
              <w:right w:w="10" w:type="dxa"/>
            </w:tcMar>
            <w:vAlign w:val="center"/>
            <w:hideMark/>
          </w:tcPr>
          <w:p w14:paraId="5DD57449" w14:textId="77777777" w:rsidR="00DE3C06" w:rsidRPr="000C5171" w:rsidRDefault="00DE3C06" w:rsidP="008A49D0">
            <w:pPr>
              <w:spacing w:before="100" w:beforeAutospacing="1" w:after="100" w:afterAutospacing="1" w:line="252" w:lineRule="auto"/>
              <w:contextualSpacing/>
              <w:jc w:val="center"/>
              <w:rPr>
                <w:rFonts w:eastAsia="Nunito" w:cs="Arial"/>
                <w:color w:val="124F1A" w:themeColor="accent3" w:themeShade="BF"/>
                <w:sz w:val="18"/>
                <w:szCs w:val="18"/>
              </w:rPr>
            </w:pPr>
            <w:r w:rsidRPr="000C5171">
              <w:rPr>
                <w:rFonts w:eastAsia="Nunito" w:cs="Arial"/>
                <w:color w:val="124F1A" w:themeColor="accent3" w:themeShade="BF"/>
                <w:sz w:val="18"/>
                <w:szCs w:val="18"/>
              </w:rPr>
              <w:t>CONCEPTO</w:t>
            </w:r>
          </w:p>
        </w:tc>
        <w:tc>
          <w:tcPr>
            <w:tcW w:w="2565" w:type="dxa"/>
            <w:tcBorders>
              <w:top w:val="single" w:sz="8" w:space="0" w:color="000000"/>
              <w:left w:val="nil"/>
              <w:bottom w:val="single" w:sz="8" w:space="0" w:color="000000"/>
              <w:right w:val="single" w:sz="8" w:space="0" w:color="000000"/>
            </w:tcBorders>
            <w:shd w:val="clear" w:color="auto" w:fill="C1F0C7"/>
            <w:tcMar>
              <w:top w:w="10" w:type="dxa"/>
              <w:left w:w="10" w:type="dxa"/>
              <w:bottom w:w="0" w:type="dxa"/>
              <w:right w:w="10" w:type="dxa"/>
            </w:tcMar>
            <w:vAlign w:val="center"/>
            <w:hideMark/>
          </w:tcPr>
          <w:p w14:paraId="60DAF600" w14:textId="77777777" w:rsidR="00DE3C06" w:rsidRPr="000C5171" w:rsidRDefault="00DE3C06" w:rsidP="008A49D0">
            <w:pPr>
              <w:spacing w:before="100" w:beforeAutospacing="1" w:after="100" w:afterAutospacing="1" w:line="252" w:lineRule="auto"/>
              <w:contextualSpacing/>
              <w:jc w:val="center"/>
              <w:rPr>
                <w:rFonts w:eastAsia="Nunito" w:cs="Arial"/>
                <w:color w:val="124F1A" w:themeColor="accent3" w:themeShade="BF"/>
                <w:sz w:val="18"/>
                <w:szCs w:val="18"/>
              </w:rPr>
            </w:pPr>
            <w:r w:rsidRPr="000C5171">
              <w:rPr>
                <w:rFonts w:eastAsia="Nunito" w:cs="Arial"/>
                <w:color w:val="124F1A" w:themeColor="accent3" w:themeShade="BF"/>
                <w:sz w:val="18"/>
                <w:szCs w:val="18"/>
              </w:rPr>
              <w:t>MONTO</w:t>
            </w:r>
          </w:p>
        </w:tc>
        <w:tc>
          <w:tcPr>
            <w:tcW w:w="1687" w:type="dxa"/>
            <w:tcBorders>
              <w:top w:val="single" w:sz="8" w:space="0" w:color="000000"/>
              <w:left w:val="nil"/>
              <w:bottom w:val="single" w:sz="8" w:space="0" w:color="000000"/>
              <w:right w:val="single" w:sz="8" w:space="0" w:color="000000"/>
            </w:tcBorders>
            <w:shd w:val="clear" w:color="auto" w:fill="C1F0C7"/>
            <w:tcMar>
              <w:top w:w="10" w:type="dxa"/>
              <w:left w:w="10" w:type="dxa"/>
              <w:bottom w:w="0" w:type="dxa"/>
              <w:right w:w="10" w:type="dxa"/>
            </w:tcMar>
            <w:vAlign w:val="center"/>
            <w:hideMark/>
          </w:tcPr>
          <w:p w14:paraId="4B1C43E7" w14:textId="77777777" w:rsidR="00DE3C06" w:rsidRPr="000C5171" w:rsidRDefault="00DE3C06" w:rsidP="008A49D0">
            <w:pPr>
              <w:spacing w:before="100" w:beforeAutospacing="1" w:after="100" w:afterAutospacing="1" w:line="252" w:lineRule="auto"/>
              <w:contextualSpacing/>
              <w:jc w:val="center"/>
              <w:rPr>
                <w:rFonts w:eastAsia="Nunito" w:cs="Arial"/>
                <w:color w:val="124F1A" w:themeColor="accent3" w:themeShade="BF"/>
                <w:sz w:val="18"/>
                <w:szCs w:val="18"/>
              </w:rPr>
            </w:pPr>
            <w:r w:rsidRPr="000C5171">
              <w:rPr>
                <w:rFonts w:eastAsia="Nunito" w:cs="Arial"/>
                <w:color w:val="124F1A" w:themeColor="accent3" w:themeShade="BF"/>
                <w:sz w:val="18"/>
                <w:szCs w:val="18"/>
              </w:rPr>
              <w:t>%</w:t>
            </w:r>
          </w:p>
        </w:tc>
      </w:tr>
      <w:tr w:rsidR="00DE3C06" w:rsidRPr="000C5171" w14:paraId="32EF9EFC" w14:textId="77777777" w:rsidTr="008A49D0">
        <w:trPr>
          <w:trHeight w:val="191"/>
        </w:trPr>
        <w:tc>
          <w:tcPr>
            <w:tcW w:w="4898"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5AE7B814" w14:textId="77777777" w:rsidR="00DE3C06" w:rsidRPr="000C5171" w:rsidRDefault="00DE3C06" w:rsidP="008A49D0">
            <w:pPr>
              <w:spacing w:line="252" w:lineRule="auto"/>
              <w:jc w:val="center"/>
              <w:rPr>
                <w:rFonts w:eastAsia="Nunito" w:cs="Arial"/>
                <w:color w:val="124F1A" w:themeColor="accent3" w:themeShade="BF"/>
                <w:sz w:val="18"/>
                <w:szCs w:val="18"/>
              </w:rPr>
            </w:pPr>
            <w:r w:rsidRPr="000C5171">
              <w:rPr>
                <w:rFonts w:eastAsia="Nunito" w:cs="Arial"/>
                <w:color w:val="124F1A" w:themeColor="accent3" w:themeShade="BF"/>
                <w:sz w:val="18"/>
                <w:szCs w:val="18"/>
              </w:rPr>
              <w:t>Total, recursos recibidos para proyectos de mediana y baja complejidad</w:t>
            </w:r>
          </w:p>
        </w:tc>
        <w:tc>
          <w:tcPr>
            <w:tcW w:w="2565"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14:paraId="068DBB73" w14:textId="77777777" w:rsidR="00DE3C06" w:rsidRPr="000C5171" w:rsidRDefault="00DE3C06" w:rsidP="008A49D0">
            <w:pPr>
              <w:spacing w:line="252" w:lineRule="auto"/>
              <w:jc w:val="center"/>
              <w:rPr>
                <w:rFonts w:eastAsia="Nunito" w:cs="Arial"/>
                <w:color w:val="275317" w:themeColor="accent6" w:themeShade="80"/>
                <w:sz w:val="18"/>
                <w:szCs w:val="18"/>
              </w:rPr>
            </w:pPr>
            <w:r w:rsidRPr="000C5171">
              <w:rPr>
                <w:rFonts w:cs="Arial"/>
                <w:color w:val="275317" w:themeColor="accent6" w:themeShade="80"/>
                <w:sz w:val="18"/>
                <w:szCs w:val="18"/>
              </w:rPr>
              <w:t>$663.304.846.141</w:t>
            </w:r>
          </w:p>
        </w:tc>
        <w:tc>
          <w:tcPr>
            <w:tcW w:w="168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14:paraId="065CD8A3" w14:textId="77777777" w:rsidR="00DE3C06" w:rsidRPr="000C5171" w:rsidRDefault="00DE3C06" w:rsidP="008A49D0">
            <w:pPr>
              <w:spacing w:line="276" w:lineRule="auto"/>
              <w:rPr>
                <w:rFonts w:eastAsia="Nunito" w:cs="Arial"/>
                <w:color w:val="275317" w:themeColor="accent6" w:themeShade="80"/>
                <w:sz w:val="18"/>
                <w:szCs w:val="18"/>
              </w:rPr>
            </w:pPr>
            <w:r w:rsidRPr="000C5171">
              <w:rPr>
                <w:rFonts w:cs="Calibri"/>
                <w:color w:val="275317" w:themeColor="accent6" w:themeShade="80"/>
                <w:sz w:val="22"/>
                <w:szCs w:val="22"/>
              </w:rPr>
              <w:t> </w:t>
            </w:r>
          </w:p>
        </w:tc>
      </w:tr>
      <w:tr w:rsidR="00DE3C06" w:rsidRPr="000C5171" w14:paraId="4FC5D932" w14:textId="77777777" w:rsidTr="008A49D0">
        <w:trPr>
          <w:trHeight w:val="208"/>
        </w:trPr>
        <w:tc>
          <w:tcPr>
            <w:tcW w:w="4898" w:type="dxa"/>
            <w:tcBorders>
              <w:top w:val="nil"/>
              <w:left w:val="single" w:sz="8" w:space="0" w:color="000000"/>
              <w:bottom w:val="single" w:sz="8" w:space="0" w:color="000000"/>
              <w:right w:val="single" w:sz="8" w:space="0" w:color="000000"/>
            </w:tcBorders>
            <w:shd w:val="clear" w:color="auto" w:fill="C1F0C7"/>
            <w:tcMar>
              <w:top w:w="15" w:type="dxa"/>
              <w:left w:w="15" w:type="dxa"/>
              <w:bottom w:w="0" w:type="dxa"/>
              <w:right w:w="15" w:type="dxa"/>
            </w:tcMar>
            <w:vAlign w:val="center"/>
            <w:hideMark/>
          </w:tcPr>
          <w:p w14:paraId="2DB3051C" w14:textId="77777777" w:rsidR="00DE3C06" w:rsidRPr="000C5171" w:rsidRDefault="00DE3C06" w:rsidP="008A49D0">
            <w:pPr>
              <w:spacing w:line="252" w:lineRule="auto"/>
              <w:jc w:val="center"/>
              <w:rPr>
                <w:rFonts w:eastAsia="Nunito" w:cs="Arial"/>
                <w:color w:val="124F1A" w:themeColor="accent3" w:themeShade="BF"/>
                <w:sz w:val="18"/>
                <w:szCs w:val="18"/>
              </w:rPr>
            </w:pPr>
            <w:r w:rsidRPr="000C5171">
              <w:rPr>
                <w:rFonts w:eastAsia="Nunito" w:cs="Arial"/>
                <w:color w:val="124F1A" w:themeColor="accent3" w:themeShade="BF"/>
                <w:sz w:val="18"/>
                <w:szCs w:val="18"/>
              </w:rPr>
              <w:t>30% para financiar proyectos étnicos concertados con los MEC (calculo sobre recursos recibidos para proyectos de mediana y baja complejidad)</w:t>
            </w:r>
          </w:p>
        </w:tc>
        <w:tc>
          <w:tcPr>
            <w:tcW w:w="2565" w:type="dxa"/>
            <w:tcBorders>
              <w:top w:val="nil"/>
              <w:left w:val="nil"/>
              <w:bottom w:val="single" w:sz="8" w:space="0" w:color="000000"/>
              <w:right w:val="single" w:sz="8" w:space="0" w:color="000000"/>
            </w:tcBorders>
            <w:shd w:val="clear" w:color="auto" w:fill="C1F0C7"/>
            <w:tcMar>
              <w:top w:w="15" w:type="dxa"/>
              <w:left w:w="15" w:type="dxa"/>
              <w:bottom w:w="0" w:type="dxa"/>
              <w:right w:w="15" w:type="dxa"/>
            </w:tcMar>
            <w:vAlign w:val="center"/>
            <w:hideMark/>
          </w:tcPr>
          <w:p w14:paraId="47D7DBA9" w14:textId="77777777" w:rsidR="00DE3C06" w:rsidRPr="000C5171" w:rsidRDefault="00DE3C06" w:rsidP="008A49D0">
            <w:pPr>
              <w:spacing w:line="252" w:lineRule="auto"/>
              <w:jc w:val="center"/>
              <w:rPr>
                <w:rFonts w:eastAsia="Nunito" w:cs="Arial"/>
                <w:color w:val="275317" w:themeColor="accent6" w:themeShade="80"/>
                <w:sz w:val="18"/>
                <w:szCs w:val="18"/>
              </w:rPr>
            </w:pPr>
            <w:r w:rsidRPr="000C5171">
              <w:rPr>
                <w:rFonts w:cs="Arial"/>
                <w:color w:val="275317" w:themeColor="accent6" w:themeShade="80"/>
                <w:sz w:val="18"/>
                <w:szCs w:val="18"/>
              </w:rPr>
              <w:t>$198.991.453.842</w:t>
            </w:r>
          </w:p>
        </w:tc>
        <w:tc>
          <w:tcPr>
            <w:tcW w:w="1687" w:type="dxa"/>
            <w:tcBorders>
              <w:top w:val="nil"/>
              <w:left w:val="nil"/>
              <w:bottom w:val="single" w:sz="8" w:space="0" w:color="000000"/>
              <w:right w:val="single" w:sz="8" w:space="0" w:color="000000"/>
            </w:tcBorders>
            <w:shd w:val="clear" w:color="auto" w:fill="C1F0C7"/>
            <w:tcMar>
              <w:top w:w="15" w:type="dxa"/>
              <w:left w:w="15" w:type="dxa"/>
              <w:bottom w:w="0" w:type="dxa"/>
              <w:right w:w="15" w:type="dxa"/>
            </w:tcMar>
            <w:vAlign w:val="center"/>
            <w:hideMark/>
          </w:tcPr>
          <w:p w14:paraId="3F12D017" w14:textId="77777777" w:rsidR="00DE3C06" w:rsidRPr="000C5171" w:rsidRDefault="00DE3C06" w:rsidP="008A49D0">
            <w:pPr>
              <w:spacing w:line="252" w:lineRule="auto"/>
              <w:jc w:val="center"/>
              <w:rPr>
                <w:rFonts w:eastAsia="Nunito" w:cs="Arial"/>
                <w:color w:val="275317" w:themeColor="accent6" w:themeShade="80"/>
                <w:sz w:val="18"/>
                <w:szCs w:val="18"/>
              </w:rPr>
            </w:pPr>
            <w:r w:rsidRPr="000C5171">
              <w:rPr>
                <w:rFonts w:cs="Arial"/>
                <w:color w:val="275317" w:themeColor="accent6" w:themeShade="80"/>
                <w:sz w:val="18"/>
                <w:szCs w:val="18"/>
              </w:rPr>
              <w:t>30%</w:t>
            </w:r>
          </w:p>
        </w:tc>
      </w:tr>
      <w:tr w:rsidR="00DE3C06" w:rsidRPr="000C5171" w14:paraId="22966AA2" w14:textId="77777777" w:rsidTr="008A49D0">
        <w:trPr>
          <w:trHeight w:val="202"/>
        </w:trPr>
        <w:tc>
          <w:tcPr>
            <w:tcW w:w="4898"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742A4102" w14:textId="77777777" w:rsidR="00DE3C06" w:rsidRPr="000C5171" w:rsidRDefault="00DE3C06" w:rsidP="008A49D0">
            <w:pPr>
              <w:spacing w:line="252" w:lineRule="auto"/>
              <w:jc w:val="center"/>
              <w:rPr>
                <w:rFonts w:eastAsia="Nunito" w:cs="Arial"/>
                <w:color w:val="124F1A" w:themeColor="accent3" w:themeShade="BF"/>
                <w:sz w:val="18"/>
                <w:szCs w:val="18"/>
              </w:rPr>
            </w:pPr>
            <w:r w:rsidRPr="000C5171">
              <w:rPr>
                <w:rFonts w:eastAsia="Nunito" w:cs="Arial"/>
                <w:color w:val="124F1A" w:themeColor="accent3" w:themeShade="BF"/>
                <w:sz w:val="18"/>
                <w:szCs w:val="18"/>
              </w:rPr>
              <w:t>Total, recursos asignados para financiar proyectos étnicos concertados con MEC (proyectos + seguimiento + estructuradores)</w:t>
            </w:r>
          </w:p>
        </w:tc>
        <w:tc>
          <w:tcPr>
            <w:tcW w:w="2565"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14:paraId="140CCE82" w14:textId="77777777" w:rsidR="00DE3C06" w:rsidRPr="000C5171" w:rsidRDefault="00DE3C06" w:rsidP="008A49D0">
            <w:pPr>
              <w:spacing w:line="252" w:lineRule="auto"/>
              <w:jc w:val="center"/>
              <w:rPr>
                <w:rFonts w:eastAsia="Nunito" w:cs="Arial"/>
                <w:color w:val="275317" w:themeColor="accent6" w:themeShade="80"/>
                <w:sz w:val="18"/>
                <w:szCs w:val="18"/>
              </w:rPr>
            </w:pPr>
            <w:r w:rsidRPr="000C5171">
              <w:rPr>
                <w:rFonts w:cs="Arial"/>
                <w:color w:val="275317" w:themeColor="accent6" w:themeShade="80"/>
                <w:sz w:val="18"/>
                <w:szCs w:val="18"/>
              </w:rPr>
              <w:t>$206.880.134.780</w:t>
            </w:r>
          </w:p>
        </w:tc>
        <w:tc>
          <w:tcPr>
            <w:tcW w:w="168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14:paraId="4A5B108A" w14:textId="77777777" w:rsidR="00DE3C06" w:rsidRPr="000C5171" w:rsidRDefault="00DE3C06" w:rsidP="008A49D0">
            <w:pPr>
              <w:spacing w:line="252" w:lineRule="auto"/>
              <w:jc w:val="center"/>
              <w:rPr>
                <w:rFonts w:eastAsia="Nunito" w:cs="Arial"/>
                <w:color w:val="275317" w:themeColor="accent6" w:themeShade="80"/>
                <w:sz w:val="18"/>
                <w:szCs w:val="18"/>
              </w:rPr>
            </w:pPr>
            <w:r w:rsidRPr="000C5171">
              <w:rPr>
                <w:rFonts w:cs="Arial"/>
                <w:color w:val="275317" w:themeColor="accent6" w:themeShade="80"/>
                <w:sz w:val="18"/>
                <w:szCs w:val="18"/>
              </w:rPr>
              <w:t>31%</w:t>
            </w:r>
          </w:p>
        </w:tc>
      </w:tr>
    </w:tbl>
    <w:p w14:paraId="7F857CEC" w14:textId="77777777" w:rsidR="00DE3C06" w:rsidRPr="000C5171" w:rsidRDefault="00DE3C06" w:rsidP="00DE3C06">
      <w:pPr>
        <w:rPr>
          <w:sz w:val="18"/>
          <w:szCs w:val="18"/>
        </w:rPr>
      </w:pPr>
      <w:r w:rsidRPr="000C5171">
        <w:rPr>
          <w:sz w:val="18"/>
          <w:szCs w:val="18"/>
        </w:rPr>
        <w:t xml:space="preserve">                                                         Fuente: Propia ART. Cifras en pesos</w:t>
      </w:r>
    </w:p>
    <w:p w14:paraId="3F167327" w14:textId="77777777" w:rsidR="00DE3C06" w:rsidRPr="000C5171" w:rsidRDefault="00DE3C06" w:rsidP="00DE3C06">
      <w:pPr>
        <w:pStyle w:val="Ttulo1"/>
        <w:spacing w:line="276" w:lineRule="auto"/>
        <w:ind w:left="480"/>
        <w:rPr>
          <w:rFonts w:cs="Tahoma"/>
        </w:rPr>
      </w:pPr>
    </w:p>
    <w:p w14:paraId="5B4C7E1A" w14:textId="77777777" w:rsidR="00DE3C06" w:rsidRPr="000C5171" w:rsidRDefault="00DE3C06" w:rsidP="00DE3C06">
      <w:pPr>
        <w:pStyle w:val="Ttulo1"/>
        <w:spacing w:line="276" w:lineRule="auto"/>
        <w:ind w:left="480"/>
        <w:rPr>
          <w:rFonts w:eastAsia="Nunito" w:cs="Tahoma"/>
          <w:b/>
          <w:bCs/>
          <w:color w:val="0070C0"/>
        </w:rPr>
      </w:pPr>
      <w:bookmarkStart w:id="18" w:name="_Toc234168083"/>
      <w:r w:rsidRPr="000C5171">
        <w:rPr>
          <w:rStyle w:val="SubttuloCar"/>
          <w:rFonts w:cs="Tahoma"/>
          <w:b/>
          <w:bCs/>
        </w:rPr>
        <w:t>6.3 Proceso de Paz</w:t>
      </w:r>
      <w:bookmarkEnd w:id="18"/>
      <w:r w:rsidRPr="000C5171">
        <w:rPr>
          <w:rFonts w:cs="Tahoma"/>
          <w:color w:val="0070C0"/>
        </w:rPr>
        <w:t xml:space="preserve"> </w:t>
      </w:r>
      <w:r w:rsidRPr="000C5171">
        <w:rPr>
          <w:rFonts w:cs="Tahoma"/>
          <w:color w:val="0070C0"/>
        </w:rPr>
        <w:tab/>
      </w:r>
      <w:r w:rsidRPr="000C5171">
        <w:rPr>
          <w:rFonts w:cs="Tahoma"/>
          <w:color w:val="0070C0"/>
        </w:rPr>
        <w:tab/>
      </w:r>
      <w:r w:rsidRPr="000C5171">
        <w:rPr>
          <w:rFonts w:cs="Tahoma"/>
          <w:color w:val="0070C0"/>
        </w:rPr>
        <w:tab/>
      </w:r>
      <w:r w:rsidRPr="000C5171">
        <w:rPr>
          <w:rFonts w:cs="Tahoma"/>
          <w:color w:val="0070C0"/>
        </w:rPr>
        <w:tab/>
      </w:r>
      <w:r w:rsidRPr="000C5171">
        <w:rPr>
          <w:rFonts w:cs="Tahoma"/>
          <w:color w:val="0070C0"/>
        </w:rPr>
        <w:tab/>
      </w:r>
      <w:r w:rsidRPr="000C5171">
        <w:rPr>
          <w:rFonts w:cs="Tahoma"/>
          <w:color w:val="0070C0"/>
        </w:rPr>
        <w:tab/>
      </w:r>
      <w:r w:rsidRPr="000C5171">
        <w:rPr>
          <w:rFonts w:cs="Tahoma"/>
          <w:color w:val="0070C0"/>
        </w:rPr>
        <w:tab/>
      </w:r>
      <w:r w:rsidRPr="000C5171">
        <w:rPr>
          <w:rFonts w:cs="Tahoma"/>
          <w:color w:val="0070C0"/>
        </w:rPr>
        <w:tab/>
      </w:r>
    </w:p>
    <w:p w14:paraId="208E8A9B" w14:textId="77777777" w:rsidR="00DE3C06" w:rsidRPr="000C5171" w:rsidRDefault="00DE3C06" w:rsidP="00DE3C06">
      <w:pPr>
        <w:spacing w:line="276" w:lineRule="auto"/>
        <w:jc w:val="both"/>
        <w:rPr>
          <w:rFonts w:cs="Tahoma"/>
          <w:sz w:val="22"/>
          <w:szCs w:val="22"/>
        </w:rPr>
      </w:pPr>
      <w:r w:rsidRPr="000C5171">
        <w:rPr>
          <w:rFonts w:cs="Tahoma"/>
          <w:sz w:val="22"/>
          <w:szCs w:val="22"/>
        </w:rPr>
        <w:t xml:space="preserve">Con la aprobación del CONPES 3932 de 2018, se establece el Plan Marco de Implementación (PMI) como el mecanismo para hacer seguimiento a los compromisos del Acuerdo de Paz firmado entre el Gobierno Nacional y las FARC en el año 2016. En particular, la Agencia atiende </w:t>
      </w:r>
      <w:r w:rsidRPr="000C5171">
        <w:rPr>
          <w:rFonts w:cs="Tahoma"/>
          <w:sz w:val="22"/>
          <w:szCs w:val="22"/>
        </w:rPr>
        <w:lastRenderedPageBreak/>
        <w:t>los compromisos establecidos en el Punto 1 del Acuerdo Final en el capítulo de Planes de Acción para la Transformación Regional y en la Estrategia de Implementación PDET.</w:t>
      </w:r>
    </w:p>
    <w:p w14:paraId="17682A03" w14:textId="77777777" w:rsidR="00DE3C06" w:rsidRPr="000C5171" w:rsidRDefault="00DE3C06" w:rsidP="00DE3C06">
      <w:pPr>
        <w:spacing w:line="276" w:lineRule="auto"/>
        <w:jc w:val="both"/>
        <w:rPr>
          <w:rFonts w:cs="Tahoma"/>
          <w:sz w:val="22"/>
          <w:szCs w:val="22"/>
        </w:rPr>
      </w:pPr>
      <w:r w:rsidRPr="000C5171">
        <w:rPr>
          <w:rFonts w:cs="Tahoma"/>
          <w:sz w:val="22"/>
          <w:szCs w:val="22"/>
        </w:rPr>
        <w:t xml:space="preserve">Para el año 2025, se contó con seis (6) indicadores activos en el Sistema Integrado de Información para el Posconflicto (SIIPO), en atención a los compromisos a cargo de la Entidad. Con corte al cierre de la vigencia 2025, el avance de los indicadores es el siguiente, y cuyo reporte se encuentra disponible en la plataforma SIIPO: </w:t>
      </w:r>
      <w:r w:rsidRPr="000C5171">
        <w:rPr>
          <w:rFonts w:cs="Tahoma"/>
          <w:b/>
          <w:bCs/>
          <w:sz w:val="22"/>
          <w:szCs w:val="22"/>
        </w:rPr>
        <w:t>Ver ANEXO 10. Proceso de paz - Indicadores PMI ART</w:t>
      </w:r>
      <w:r w:rsidRPr="000C5171">
        <w:rPr>
          <w:rStyle w:val="Refdenotaalpie"/>
          <w:rFonts w:cs="Tahoma"/>
          <w:b/>
          <w:bCs/>
          <w:sz w:val="22"/>
          <w:szCs w:val="22"/>
        </w:rPr>
        <w:footnoteReference w:id="35"/>
      </w:r>
    </w:p>
    <w:p w14:paraId="1220766E" w14:textId="77777777" w:rsidR="00DE3C06" w:rsidRPr="000C5171" w:rsidRDefault="00DE3C06" w:rsidP="00DE3C06">
      <w:pPr>
        <w:spacing w:line="276" w:lineRule="auto"/>
        <w:jc w:val="both"/>
        <w:rPr>
          <w:sz w:val="22"/>
          <w:szCs w:val="22"/>
          <w:lang w:eastAsia="es-CO"/>
        </w:rPr>
      </w:pPr>
    </w:p>
    <w:p w14:paraId="026C1C6D" w14:textId="77777777" w:rsidR="00DE3C06" w:rsidRPr="000C5171" w:rsidRDefault="00DE3C06">
      <w:pPr>
        <w:pStyle w:val="Prrafodelista"/>
        <w:numPr>
          <w:ilvl w:val="0"/>
          <w:numId w:val="27"/>
        </w:numPr>
        <w:spacing w:line="276" w:lineRule="auto"/>
        <w:ind w:left="426"/>
        <w:jc w:val="both"/>
        <w:rPr>
          <w:rFonts w:cs="Tahoma"/>
          <w:sz w:val="22"/>
          <w:szCs w:val="22"/>
        </w:rPr>
      </w:pPr>
      <w:r w:rsidRPr="000C5171">
        <w:rPr>
          <w:rFonts w:cs="Tahoma"/>
          <w:b/>
          <w:bCs/>
          <w:sz w:val="22"/>
          <w:szCs w:val="22"/>
        </w:rPr>
        <w:t>A.422</w:t>
      </w:r>
      <w:r w:rsidRPr="000C5171">
        <w:rPr>
          <w:rFonts w:cs="Tahoma"/>
          <w:b/>
          <w:bCs/>
          <w:sz w:val="22"/>
          <w:szCs w:val="22"/>
        </w:rPr>
        <w:tab/>
      </w:r>
      <w:r w:rsidRPr="000C5171">
        <w:rPr>
          <w:rFonts w:cs="Tahoma"/>
          <w:sz w:val="22"/>
          <w:szCs w:val="22"/>
        </w:rPr>
        <w:t>Informes de seguimiento anuales de acceso público que reporten el avance de implementación de los Planes de Acción para la Transformación Regional.  Al cierre de la vigencia 2025, la ART reportó 17 fichas con información sobre cada una de las 16 subregiones PDET, y una ficha nacional. Esto da cumplimiento a la meta de 16 fichas fijada para la vigencia</w:t>
      </w:r>
    </w:p>
    <w:p w14:paraId="088B397F" w14:textId="77777777" w:rsidR="00DE3C06" w:rsidRPr="000C5171" w:rsidRDefault="00DE3C06">
      <w:pPr>
        <w:pStyle w:val="Prrafodelista"/>
        <w:numPr>
          <w:ilvl w:val="0"/>
          <w:numId w:val="27"/>
        </w:numPr>
        <w:spacing w:line="276" w:lineRule="auto"/>
        <w:ind w:left="426"/>
        <w:jc w:val="both"/>
        <w:rPr>
          <w:rFonts w:cs="Tahoma"/>
          <w:sz w:val="22"/>
          <w:szCs w:val="22"/>
        </w:rPr>
      </w:pPr>
      <w:r w:rsidRPr="000C5171">
        <w:rPr>
          <w:rFonts w:cs="Tahoma"/>
          <w:b/>
          <w:bCs/>
          <w:sz w:val="22"/>
          <w:szCs w:val="22"/>
        </w:rPr>
        <w:t>A.E.22</w:t>
      </w:r>
      <w:r w:rsidRPr="000C5171">
        <w:rPr>
          <w:rFonts w:cs="Tahoma"/>
          <w:sz w:val="22"/>
          <w:szCs w:val="22"/>
        </w:rPr>
        <w:tab/>
        <w:t xml:space="preserve">Porcentaje de PDET y PATR concertados, consultados, diseñados, formulados, ejecutados y en seguimiento con las autoridades étnico-territoriales acorde con los planes de vida, etnodesarrollo, manejo ambiental, ordenamiento territorial y sus equivalentes en el maco reparador del enfoque étnico, racial, de mujer, familia, género y generación. A la fecha el indicador alcanza un avance integral acumulado del 81,16 % (Reporte cualitativo SIIPO- DNP – </w:t>
      </w:r>
      <w:proofErr w:type="gramStart"/>
      <w:r w:rsidRPr="000C5171">
        <w:rPr>
          <w:rFonts w:cs="Tahoma"/>
          <w:sz w:val="22"/>
          <w:szCs w:val="22"/>
        </w:rPr>
        <w:t>Marzo</w:t>
      </w:r>
      <w:proofErr w:type="gramEnd"/>
      <w:r w:rsidRPr="000C5171">
        <w:rPr>
          <w:rFonts w:cs="Tahoma"/>
          <w:sz w:val="22"/>
          <w:szCs w:val="22"/>
        </w:rPr>
        <w:t xml:space="preserve"> 2026).</w:t>
      </w:r>
    </w:p>
    <w:p w14:paraId="602983F2" w14:textId="77777777" w:rsidR="00DE3C06" w:rsidRPr="000C5171" w:rsidRDefault="00DE3C06">
      <w:pPr>
        <w:pStyle w:val="Prrafodelista"/>
        <w:numPr>
          <w:ilvl w:val="0"/>
          <w:numId w:val="27"/>
        </w:numPr>
        <w:spacing w:line="276" w:lineRule="auto"/>
        <w:ind w:left="426" w:firstLine="0"/>
        <w:jc w:val="both"/>
        <w:rPr>
          <w:rFonts w:cs="Tahoma"/>
          <w:sz w:val="22"/>
          <w:szCs w:val="22"/>
        </w:rPr>
      </w:pPr>
      <w:r w:rsidRPr="000C5171">
        <w:rPr>
          <w:rFonts w:cs="Tahoma"/>
          <w:b/>
          <w:bCs/>
          <w:sz w:val="22"/>
          <w:szCs w:val="22"/>
        </w:rPr>
        <w:t>A.E.23</w:t>
      </w:r>
      <w:r w:rsidRPr="000C5171">
        <w:rPr>
          <w:rFonts w:cs="Tahoma"/>
          <w:sz w:val="22"/>
          <w:szCs w:val="22"/>
        </w:rPr>
        <w:tab/>
        <w:t>Porcentaje de PATR que incluyen planes de vida, etnodesarrollo, manejo ambiental, ordenamiento territorial o sus equivalentes, implementados</w:t>
      </w:r>
    </w:p>
    <w:p w14:paraId="33B7BE56" w14:textId="77777777" w:rsidR="00DE3C06" w:rsidRPr="000C5171" w:rsidRDefault="00DE3C06" w:rsidP="00DE3C06">
      <w:pPr>
        <w:pStyle w:val="Prrafodelista"/>
        <w:spacing w:line="276" w:lineRule="auto"/>
        <w:ind w:left="426"/>
        <w:jc w:val="both"/>
        <w:rPr>
          <w:rFonts w:cs="Tahoma"/>
          <w:sz w:val="22"/>
          <w:szCs w:val="22"/>
        </w:rPr>
      </w:pPr>
      <w:r w:rsidRPr="000C5171">
        <w:rPr>
          <w:rFonts w:cs="Tahoma"/>
          <w:sz w:val="22"/>
          <w:szCs w:val="22"/>
        </w:rPr>
        <w:t>Este indicador mide el avance porcentual sobre la meta total de 8.381 iniciativas étnicas que requerían activación. De acuerdo con el reporte cualitativo del primer trimestre de 2026, se presenta un avance del 54,16 %, lo cual equivale a 4.539 iniciativas étnicas con Ruta de Implementación Activa (RIA).</w:t>
      </w:r>
      <w:r w:rsidRPr="000C5171">
        <w:rPr>
          <w:rFonts w:cs="Tahoma"/>
          <w:b/>
          <w:bCs/>
          <w:sz w:val="22"/>
          <w:szCs w:val="22"/>
        </w:rPr>
        <w:t xml:space="preserve"> (Reporte cualitativo SIIPO- DNP – </w:t>
      </w:r>
      <w:proofErr w:type="gramStart"/>
      <w:r w:rsidRPr="000C5171">
        <w:rPr>
          <w:rFonts w:cs="Tahoma"/>
          <w:b/>
          <w:bCs/>
          <w:sz w:val="22"/>
          <w:szCs w:val="22"/>
        </w:rPr>
        <w:t>Marzo</w:t>
      </w:r>
      <w:proofErr w:type="gramEnd"/>
      <w:r w:rsidRPr="000C5171">
        <w:rPr>
          <w:rFonts w:cs="Tahoma"/>
          <w:b/>
          <w:bCs/>
          <w:sz w:val="22"/>
          <w:szCs w:val="22"/>
        </w:rPr>
        <w:t xml:space="preserve"> 2026).</w:t>
      </w:r>
    </w:p>
    <w:p w14:paraId="2B0DB539" w14:textId="77777777" w:rsidR="00DE3C06" w:rsidRPr="000C5171" w:rsidRDefault="00DE3C06">
      <w:pPr>
        <w:pStyle w:val="Prrafodelista"/>
        <w:numPr>
          <w:ilvl w:val="0"/>
          <w:numId w:val="27"/>
        </w:numPr>
        <w:spacing w:after="0" w:line="276" w:lineRule="auto"/>
        <w:ind w:left="426"/>
        <w:jc w:val="both"/>
        <w:rPr>
          <w:rFonts w:cs="Tahoma"/>
          <w:sz w:val="22"/>
          <w:szCs w:val="22"/>
        </w:rPr>
      </w:pPr>
      <w:r w:rsidRPr="000C5171">
        <w:rPr>
          <w:rFonts w:cs="Tahoma"/>
          <w:b/>
          <w:bCs/>
          <w:sz w:val="22"/>
          <w:szCs w:val="22"/>
        </w:rPr>
        <w:t>A.E.24</w:t>
      </w:r>
      <w:r w:rsidRPr="000C5171">
        <w:rPr>
          <w:rFonts w:cs="Tahoma"/>
          <w:sz w:val="22"/>
          <w:szCs w:val="22"/>
        </w:rPr>
        <w:tab/>
        <w:t>Porcentaje de medidas, programas y proyectos de los PATR que desarrolla los planes de vida, etnodesarrollo, manejo ambiental, ordenamiento territorial o sus equivalentes, implementados</w:t>
      </w:r>
    </w:p>
    <w:p w14:paraId="47EE063A" w14:textId="77777777" w:rsidR="00DE3C06" w:rsidRPr="000C5171" w:rsidRDefault="00DE3C06" w:rsidP="00DE3C06">
      <w:pPr>
        <w:spacing w:after="0" w:line="276" w:lineRule="auto"/>
        <w:ind w:left="426"/>
        <w:jc w:val="both"/>
        <w:rPr>
          <w:rFonts w:cs="Tahoma"/>
          <w:sz w:val="22"/>
          <w:szCs w:val="22"/>
        </w:rPr>
      </w:pPr>
      <w:r w:rsidRPr="000C5171">
        <w:rPr>
          <w:rFonts w:cs="Tahoma"/>
          <w:sz w:val="22"/>
          <w:szCs w:val="22"/>
        </w:rPr>
        <w:t xml:space="preserve">Este indicador da cuenta del avance anual en la activación de las iniciativas étnicas. Para la vigencia 2026, se reporta la activación de 81 iniciativas sobre un universo total de 411 programado, lo que equivale a un avance del 19,7 %. (Reporte cualitativo SIIPO- DNP – </w:t>
      </w:r>
      <w:proofErr w:type="gramStart"/>
      <w:r w:rsidRPr="000C5171">
        <w:rPr>
          <w:rFonts w:cs="Tahoma"/>
          <w:sz w:val="22"/>
          <w:szCs w:val="22"/>
        </w:rPr>
        <w:t>Marzo</w:t>
      </w:r>
      <w:proofErr w:type="gramEnd"/>
      <w:r w:rsidRPr="000C5171">
        <w:rPr>
          <w:rFonts w:cs="Tahoma"/>
          <w:sz w:val="22"/>
          <w:szCs w:val="22"/>
        </w:rPr>
        <w:t xml:space="preserve"> 2026).</w:t>
      </w:r>
    </w:p>
    <w:p w14:paraId="1171B398" w14:textId="77777777" w:rsidR="00DE3C06" w:rsidRPr="000C5171" w:rsidRDefault="00DE3C06">
      <w:pPr>
        <w:pStyle w:val="Prrafodelista"/>
        <w:numPr>
          <w:ilvl w:val="0"/>
          <w:numId w:val="27"/>
        </w:numPr>
        <w:spacing w:line="276" w:lineRule="auto"/>
        <w:ind w:left="426"/>
        <w:jc w:val="both"/>
        <w:rPr>
          <w:rFonts w:cs="Tahoma"/>
          <w:sz w:val="22"/>
          <w:szCs w:val="22"/>
        </w:rPr>
      </w:pPr>
      <w:r w:rsidRPr="000C5171">
        <w:rPr>
          <w:rFonts w:cs="Tahoma"/>
          <w:b/>
          <w:bCs/>
          <w:sz w:val="22"/>
          <w:szCs w:val="22"/>
        </w:rPr>
        <w:lastRenderedPageBreak/>
        <w:t>A.E.25</w:t>
      </w:r>
      <w:r w:rsidRPr="000C5171">
        <w:rPr>
          <w:rFonts w:cs="Tahoma"/>
          <w:sz w:val="22"/>
          <w:szCs w:val="22"/>
        </w:rPr>
        <w:tab/>
        <w:t xml:space="preserve">Porcentaje de medidas específicas, programas y proyectos diseñados, formulados, en implementación y seguimiento con mujeres de pueblos indígenas, NARP y </w:t>
      </w:r>
      <w:proofErr w:type="spellStart"/>
      <w:r w:rsidRPr="000C5171">
        <w:rPr>
          <w:rFonts w:cs="Tahoma"/>
          <w:sz w:val="22"/>
          <w:szCs w:val="22"/>
        </w:rPr>
        <w:t>Rrom.El</w:t>
      </w:r>
      <w:proofErr w:type="spellEnd"/>
      <w:r w:rsidRPr="000C5171">
        <w:rPr>
          <w:rFonts w:cs="Tahoma"/>
          <w:sz w:val="22"/>
          <w:szCs w:val="22"/>
        </w:rPr>
        <w:t xml:space="preserve"> indicador consolida un avance integral acumulado del 80,99 %, </w:t>
      </w:r>
    </w:p>
    <w:p w14:paraId="52037D7F" w14:textId="77777777" w:rsidR="00DE3C06" w:rsidRPr="000C5171" w:rsidRDefault="00DE3C06">
      <w:pPr>
        <w:pStyle w:val="Prrafodelista"/>
        <w:numPr>
          <w:ilvl w:val="0"/>
          <w:numId w:val="27"/>
        </w:numPr>
        <w:spacing w:line="276" w:lineRule="auto"/>
        <w:ind w:left="426"/>
        <w:jc w:val="both"/>
        <w:rPr>
          <w:rFonts w:cs="Tahoma"/>
          <w:sz w:val="22"/>
          <w:szCs w:val="22"/>
        </w:rPr>
      </w:pPr>
      <w:r w:rsidRPr="000C5171">
        <w:rPr>
          <w:rFonts w:cs="Tahoma"/>
          <w:b/>
          <w:bCs/>
          <w:sz w:val="22"/>
          <w:szCs w:val="22"/>
        </w:rPr>
        <w:t>A.E.26</w:t>
      </w:r>
      <w:r w:rsidRPr="000C5171">
        <w:rPr>
          <w:rFonts w:cs="Tahoma"/>
          <w:sz w:val="22"/>
          <w:szCs w:val="22"/>
        </w:rPr>
        <w:tab/>
        <w:t>Porcentaje de PATR formulados y en implementación con participación efectiva de organizaciones de mujeres NARP</w:t>
      </w:r>
      <w:r w:rsidRPr="000C5171">
        <w:rPr>
          <w:rStyle w:val="Refdenotaalpie"/>
          <w:rFonts w:cs="Tahoma"/>
          <w:sz w:val="22"/>
          <w:szCs w:val="22"/>
        </w:rPr>
        <w:footnoteReference w:id="36"/>
      </w:r>
      <w:r w:rsidRPr="000C5171">
        <w:rPr>
          <w:rFonts w:cs="Tahoma"/>
          <w:sz w:val="22"/>
          <w:szCs w:val="22"/>
        </w:rPr>
        <w:t>. A la fecha este indicador tiene un avance acumulado de 78.39%.</w:t>
      </w:r>
    </w:p>
    <w:p w14:paraId="6AF26293" w14:textId="77777777" w:rsidR="00DE3C06" w:rsidRPr="000C5171" w:rsidRDefault="00DE3C06" w:rsidP="00DE3C06">
      <w:pPr>
        <w:spacing w:line="276" w:lineRule="auto"/>
        <w:jc w:val="both"/>
        <w:rPr>
          <w:rFonts w:cs="Tahoma"/>
          <w:sz w:val="22"/>
          <w:szCs w:val="22"/>
        </w:rPr>
      </w:pPr>
      <w:r w:rsidRPr="000C5171">
        <w:rPr>
          <w:rFonts w:cs="Tahoma"/>
          <w:sz w:val="22"/>
          <w:szCs w:val="22"/>
        </w:rPr>
        <w:t xml:space="preserve">En relación con estos indicadores hay que anotar que, a partir del proceso de revisión y actualización de los PATR, se concertó con los Mecanismos Especiales de Consulta la inclusión de los capítulos étnicos con base en los planes de vida y de </w:t>
      </w:r>
      <w:proofErr w:type="spellStart"/>
      <w:r w:rsidRPr="000C5171">
        <w:rPr>
          <w:rFonts w:cs="Tahoma"/>
          <w:sz w:val="22"/>
          <w:szCs w:val="22"/>
        </w:rPr>
        <w:t>etno</w:t>
      </w:r>
      <w:proofErr w:type="spellEnd"/>
      <w:r w:rsidRPr="000C5171">
        <w:rPr>
          <w:rFonts w:cs="Tahoma"/>
          <w:sz w:val="22"/>
          <w:szCs w:val="22"/>
        </w:rPr>
        <w:t xml:space="preserve"> desarrollo cuyo seguimiento se hará con fundamento en los indicadores de metas y resultados que contemplan dichos capítulos.</w:t>
      </w:r>
    </w:p>
    <w:p w14:paraId="6FBCA1C0" w14:textId="77777777" w:rsidR="00DE3C06" w:rsidRPr="000C5171" w:rsidRDefault="00DE3C06" w:rsidP="00DE3C06">
      <w:pPr>
        <w:spacing w:line="276" w:lineRule="auto"/>
        <w:jc w:val="both"/>
        <w:rPr>
          <w:rFonts w:cs="Tahoma"/>
          <w:sz w:val="22"/>
          <w:szCs w:val="22"/>
        </w:rPr>
      </w:pPr>
      <w:r w:rsidRPr="000C5171">
        <w:rPr>
          <w:rFonts w:cs="Tahoma"/>
          <w:sz w:val="22"/>
          <w:szCs w:val="22"/>
        </w:rPr>
        <w:t xml:space="preserve">Adicionalmente durante 2025, la ART participó en espacios con el DNP para definir las fichas técnicas de los cuatro indicadores a su cargo bajo la Adenda No. 1 del CONPES 3932 de 2018: proyectos implementados en PDET, proyectos con enfoque de género, proyectos con Comité de Control Social y Mecanismos Especiales de Consulta fortalecidos. Para los indicadores de “proyectos implementados” se acordaron dos mediciones: una por acta de inicio (valorando la concertación con comunidades y la </w:t>
      </w:r>
      <w:proofErr w:type="spellStart"/>
      <w:r w:rsidRPr="000C5171">
        <w:rPr>
          <w:rFonts w:cs="Tahoma"/>
          <w:sz w:val="22"/>
          <w:szCs w:val="22"/>
        </w:rPr>
        <w:t>viabilización</w:t>
      </w:r>
      <w:proofErr w:type="spellEnd"/>
      <w:r w:rsidRPr="000C5171">
        <w:rPr>
          <w:rFonts w:cs="Tahoma"/>
          <w:sz w:val="22"/>
          <w:szCs w:val="22"/>
        </w:rPr>
        <w:t xml:space="preserve"> de proyectos) y otra por acta de terminación (proyectos que culminan en campo).</w:t>
      </w:r>
    </w:p>
    <w:p w14:paraId="329648CC" w14:textId="77777777" w:rsidR="00DE3C06" w:rsidRPr="000C5171" w:rsidRDefault="00DE3C06" w:rsidP="00DE3C06">
      <w:pPr>
        <w:spacing w:line="276" w:lineRule="auto"/>
        <w:jc w:val="both"/>
        <w:rPr>
          <w:rFonts w:cs="Tahoma"/>
          <w:sz w:val="22"/>
          <w:szCs w:val="22"/>
        </w:rPr>
      </w:pPr>
      <w:r w:rsidRPr="000C5171">
        <w:rPr>
          <w:rFonts w:cs="Tahoma"/>
          <w:sz w:val="22"/>
          <w:szCs w:val="22"/>
        </w:rPr>
        <w:t>A la fecha, la ART ya avanzó con los ajustes solicitados por DNP y remitió las versiones definitivas de las fichas técnicas de los 6 indicadores, a saber, A.26.P.N (MEC), A.24P.N (comités control social y seguimiento), A.MT.</w:t>
      </w:r>
      <w:proofErr w:type="gramStart"/>
      <w:r w:rsidRPr="000C5171">
        <w:rPr>
          <w:rFonts w:cs="Tahoma"/>
          <w:sz w:val="22"/>
          <w:szCs w:val="22"/>
        </w:rPr>
        <w:t>7.N.</w:t>
      </w:r>
      <w:proofErr w:type="gramEnd"/>
      <w:r w:rsidRPr="000C5171">
        <w:rPr>
          <w:rFonts w:cs="Tahoma"/>
          <w:sz w:val="22"/>
          <w:szCs w:val="22"/>
        </w:rPr>
        <w:t>1 (proyectos implementados acta de inicio), A.MT.7.N.2 (proyectos implementados acta de terminación), A.G.24.N.1 (proyectos de género acta de inicio) y A.G.24.N.2 (proyectos de género acta de terminación).</w:t>
      </w:r>
    </w:p>
    <w:p w14:paraId="4A73924D" w14:textId="77777777" w:rsidR="00DE3C06" w:rsidRPr="000C5171" w:rsidRDefault="00DE3C06" w:rsidP="00DE3C06">
      <w:pPr>
        <w:spacing w:line="276" w:lineRule="auto"/>
        <w:jc w:val="both"/>
        <w:rPr>
          <w:rFonts w:cs="Tahoma"/>
          <w:sz w:val="22"/>
          <w:szCs w:val="22"/>
        </w:rPr>
      </w:pPr>
      <w:r w:rsidRPr="000C5171">
        <w:rPr>
          <w:rFonts w:cs="Tahoma"/>
          <w:sz w:val="22"/>
          <w:szCs w:val="22"/>
        </w:rPr>
        <w:t>Con la aprobación definitiva por parte de DNP y el cargue de las fichas técnicas en el SIIPO, en la apertura del sistema podrá iniciar el cargue de la información de avances de estos indicadores.</w:t>
      </w:r>
    </w:p>
    <w:p w14:paraId="4EC065CB" w14:textId="77777777" w:rsidR="00DE3C06" w:rsidRPr="000C5171" w:rsidRDefault="00DE3C06" w:rsidP="00DE3C06">
      <w:pPr>
        <w:spacing w:after="0" w:line="276" w:lineRule="auto"/>
        <w:jc w:val="both"/>
        <w:rPr>
          <w:rFonts w:cs="Tahoma"/>
          <w:sz w:val="22"/>
          <w:szCs w:val="22"/>
        </w:rPr>
      </w:pPr>
    </w:p>
    <w:p w14:paraId="460E0412" w14:textId="77777777" w:rsidR="00DE3C06" w:rsidRPr="000C5171" w:rsidRDefault="00DE3C06">
      <w:pPr>
        <w:pStyle w:val="Ttulo1"/>
        <w:numPr>
          <w:ilvl w:val="1"/>
          <w:numId w:val="20"/>
        </w:numPr>
        <w:spacing w:after="0" w:line="276" w:lineRule="auto"/>
        <w:ind w:left="0" w:firstLine="0"/>
        <w:rPr>
          <w:rFonts w:cs="Tahoma"/>
          <w:color w:val="0070C0"/>
        </w:rPr>
      </w:pPr>
      <w:bookmarkStart w:id="19" w:name="_Toc234168084"/>
      <w:r w:rsidRPr="000C5171">
        <w:rPr>
          <w:rFonts w:cs="Tahoma"/>
          <w:color w:val="0070C0"/>
        </w:rPr>
        <w:t>Políticas de mediano y largo plazo</w:t>
      </w:r>
      <w:bookmarkEnd w:id="19"/>
      <w:r w:rsidRPr="000C5171">
        <w:rPr>
          <w:rFonts w:cs="Tahoma"/>
          <w:color w:val="0070C0"/>
        </w:rPr>
        <w:t xml:space="preserve">    </w:t>
      </w:r>
      <w:r w:rsidRPr="000C5171">
        <w:rPr>
          <w:rFonts w:cs="Tahoma"/>
          <w:color w:val="0070C0"/>
        </w:rPr>
        <w:tab/>
      </w:r>
    </w:p>
    <w:p w14:paraId="22BF12E3" w14:textId="77777777" w:rsidR="00DE3C06" w:rsidRPr="000C5171" w:rsidRDefault="00DE3C06" w:rsidP="00DE3C06">
      <w:pPr>
        <w:pStyle w:val="Ttulo1"/>
        <w:spacing w:after="0" w:line="276" w:lineRule="auto"/>
        <w:rPr>
          <w:rFonts w:cs="Tahoma"/>
        </w:rPr>
      </w:pPr>
      <w:r w:rsidRPr="000C5171">
        <w:rPr>
          <w:rFonts w:cs="Tahoma"/>
        </w:rPr>
        <w:tab/>
      </w:r>
      <w:r w:rsidRPr="000C5171">
        <w:rPr>
          <w:rFonts w:cs="Tahoma"/>
        </w:rPr>
        <w:tab/>
      </w:r>
    </w:p>
    <w:p w14:paraId="17445AF8" w14:textId="77777777" w:rsidR="00DE3C06" w:rsidRPr="000C5171" w:rsidRDefault="00DE3C06">
      <w:pPr>
        <w:pStyle w:val="Prrafodelista"/>
        <w:numPr>
          <w:ilvl w:val="2"/>
          <w:numId w:val="20"/>
        </w:numPr>
        <w:spacing w:line="276" w:lineRule="auto"/>
        <w:ind w:left="0" w:firstLine="0"/>
        <w:rPr>
          <w:rFonts w:cs="Tahoma"/>
          <w:color w:val="0070C0"/>
          <w:sz w:val="22"/>
          <w:szCs w:val="22"/>
        </w:rPr>
      </w:pPr>
      <w:r w:rsidRPr="000C5171">
        <w:rPr>
          <w:rFonts w:cs="Tahoma"/>
          <w:color w:val="0070C0"/>
          <w:sz w:val="22"/>
          <w:szCs w:val="22"/>
        </w:rPr>
        <w:t>Políticas CONPES</w:t>
      </w:r>
    </w:p>
    <w:p w14:paraId="3462A107" w14:textId="77777777" w:rsidR="00DE3C06" w:rsidRPr="000C5171" w:rsidRDefault="00DE3C06" w:rsidP="00DE3C06">
      <w:pPr>
        <w:pStyle w:val="Prrafodelista"/>
        <w:spacing w:line="276" w:lineRule="auto"/>
        <w:ind w:left="1440"/>
        <w:rPr>
          <w:rFonts w:cs="Tahoma"/>
          <w:b/>
          <w:bCs/>
          <w:color w:val="0070C0"/>
          <w:sz w:val="22"/>
          <w:szCs w:val="22"/>
        </w:rPr>
      </w:pPr>
    </w:p>
    <w:p w14:paraId="46C86794" w14:textId="77777777" w:rsidR="00DE3C06" w:rsidRPr="000C5171" w:rsidRDefault="00DE3C06" w:rsidP="00DE3C06">
      <w:pPr>
        <w:spacing w:line="276" w:lineRule="auto"/>
        <w:jc w:val="both"/>
        <w:rPr>
          <w:rFonts w:cs="Arial"/>
          <w:color w:val="0070C0"/>
          <w:sz w:val="22"/>
          <w:szCs w:val="22"/>
        </w:rPr>
      </w:pPr>
      <w:r w:rsidRPr="000C5171">
        <w:rPr>
          <w:rFonts w:cs="Arial"/>
          <w:sz w:val="22"/>
          <w:szCs w:val="22"/>
        </w:rPr>
        <w:t xml:space="preserve">La ART tiene a su cargo acciones en diferentes documentos CONPES. Los avances de estas acciones se reportan en la periodicidad definida por el DNP en la plataforma </w:t>
      </w:r>
      <w:proofErr w:type="spellStart"/>
      <w:r w:rsidRPr="000C5171">
        <w:rPr>
          <w:rFonts w:cs="Arial"/>
          <w:color w:val="0070C0"/>
          <w:sz w:val="22"/>
          <w:szCs w:val="22"/>
        </w:rPr>
        <w:t>SisConpes</w:t>
      </w:r>
      <w:proofErr w:type="spellEnd"/>
      <w:r w:rsidRPr="000C5171">
        <w:rPr>
          <w:rFonts w:cs="Arial"/>
          <w:color w:val="0070C0"/>
          <w:sz w:val="22"/>
          <w:szCs w:val="22"/>
        </w:rPr>
        <w:t xml:space="preserve">, </w:t>
      </w:r>
      <w:hyperlink r:id="rId19" w:history="1">
        <w:r w:rsidRPr="000C5171">
          <w:rPr>
            <w:rStyle w:val="Hipervnculo"/>
            <w:rFonts w:cs="Arial"/>
            <w:sz w:val="22"/>
            <w:szCs w:val="22"/>
          </w:rPr>
          <w:t>https://sisconpes.dnp.gov.co/sisconpesweb/</w:t>
        </w:r>
      </w:hyperlink>
    </w:p>
    <w:p w14:paraId="113A7109" w14:textId="77777777" w:rsidR="00DE3C06" w:rsidRPr="000C5171" w:rsidRDefault="00DE3C06" w:rsidP="00DE3C06">
      <w:pPr>
        <w:spacing w:line="276" w:lineRule="auto"/>
        <w:jc w:val="both"/>
        <w:rPr>
          <w:rFonts w:cs="Arial"/>
          <w:sz w:val="22"/>
          <w:szCs w:val="22"/>
        </w:rPr>
      </w:pPr>
      <w:r w:rsidRPr="000C5171">
        <w:rPr>
          <w:rFonts w:cs="Arial"/>
          <w:sz w:val="22"/>
          <w:szCs w:val="22"/>
        </w:rPr>
        <w:t xml:space="preserve">Las políticas que aplican a la ART, en el marco de los documentos CONPES, son las siguientes: </w:t>
      </w:r>
    </w:p>
    <w:p w14:paraId="0A0F18B3" w14:textId="77777777" w:rsidR="00DE3C06" w:rsidRPr="000C5171" w:rsidRDefault="00DE3C06" w:rsidP="00DE3C06">
      <w:pPr>
        <w:spacing w:line="276" w:lineRule="auto"/>
        <w:jc w:val="center"/>
        <w:rPr>
          <w:rFonts w:cs="Arial"/>
          <w:sz w:val="22"/>
          <w:szCs w:val="22"/>
        </w:rPr>
      </w:pPr>
      <w:r w:rsidRPr="000C5171">
        <w:rPr>
          <w:rFonts w:cs="Arial"/>
          <w:b/>
          <w:bCs/>
          <w:sz w:val="22"/>
          <w:szCs w:val="22"/>
        </w:rPr>
        <w:t xml:space="preserve">Tabla 12. Acciones de CONPES de la ART </w:t>
      </w:r>
    </w:p>
    <w:tbl>
      <w:tblPr>
        <w:tblW w:w="8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6"/>
        <w:gridCol w:w="6312"/>
        <w:gridCol w:w="1455"/>
      </w:tblGrid>
      <w:tr w:rsidR="00DE3C06" w:rsidRPr="000C5171" w14:paraId="0C9873DB" w14:textId="77777777" w:rsidTr="008A49D0">
        <w:trPr>
          <w:trHeight w:val="61"/>
        </w:trPr>
        <w:tc>
          <w:tcPr>
            <w:tcW w:w="1146" w:type="dxa"/>
            <w:tcBorders>
              <w:top w:val="single" w:sz="4" w:space="0" w:color="auto"/>
              <w:left w:val="single" w:sz="4" w:space="0" w:color="auto"/>
              <w:bottom w:val="single" w:sz="4" w:space="0" w:color="auto"/>
              <w:right w:val="single" w:sz="4" w:space="0" w:color="auto"/>
            </w:tcBorders>
            <w:shd w:val="clear" w:color="auto" w:fill="C1F0C7"/>
            <w:tcMar>
              <w:top w:w="0" w:type="dxa"/>
              <w:left w:w="90" w:type="dxa"/>
              <w:bottom w:w="0" w:type="dxa"/>
              <w:right w:w="90" w:type="dxa"/>
            </w:tcMar>
            <w:vAlign w:val="center"/>
            <w:hideMark/>
          </w:tcPr>
          <w:p w14:paraId="003347E0" w14:textId="77777777" w:rsidR="00DE3C06" w:rsidRPr="000C5171" w:rsidRDefault="00DE3C06" w:rsidP="008A49D0">
            <w:pPr>
              <w:spacing w:after="0" w:line="240" w:lineRule="auto"/>
              <w:jc w:val="center"/>
              <w:rPr>
                <w:rFonts w:eastAsia="Nunito" w:cs="Arial"/>
                <w:b/>
                <w:bCs/>
                <w:color w:val="124F1A" w:themeColor="accent3" w:themeShade="BF"/>
                <w:sz w:val="20"/>
                <w:szCs w:val="20"/>
              </w:rPr>
            </w:pPr>
            <w:r w:rsidRPr="000C5171">
              <w:rPr>
                <w:rFonts w:eastAsia="Nunito" w:cs="Arial"/>
                <w:b/>
                <w:bCs/>
                <w:color w:val="124F1A" w:themeColor="accent3" w:themeShade="BF"/>
                <w:sz w:val="20"/>
                <w:szCs w:val="20"/>
              </w:rPr>
              <w:t>Nro. CONPES</w:t>
            </w:r>
          </w:p>
        </w:tc>
        <w:tc>
          <w:tcPr>
            <w:tcW w:w="6312" w:type="dxa"/>
            <w:tcBorders>
              <w:top w:val="single" w:sz="4" w:space="0" w:color="auto"/>
              <w:left w:val="single" w:sz="4" w:space="0" w:color="auto"/>
              <w:bottom w:val="single" w:sz="4" w:space="0" w:color="auto"/>
              <w:right w:val="single" w:sz="4" w:space="0" w:color="auto"/>
            </w:tcBorders>
            <w:shd w:val="clear" w:color="auto" w:fill="C1F0C7"/>
            <w:tcMar>
              <w:top w:w="0" w:type="dxa"/>
              <w:left w:w="90" w:type="dxa"/>
              <w:bottom w:w="0" w:type="dxa"/>
              <w:right w:w="90" w:type="dxa"/>
            </w:tcMar>
            <w:vAlign w:val="center"/>
            <w:hideMark/>
          </w:tcPr>
          <w:p w14:paraId="4A58FC5E" w14:textId="77777777" w:rsidR="00DE3C06" w:rsidRPr="000C5171" w:rsidRDefault="00DE3C06" w:rsidP="008A49D0">
            <w:pPr>
              <w:spacing w:after="0" w:line="240" w:lineRule="auto"/>
              <w:jc w:val="center"/>
              <w:rPr>
                <w:rFonts w:eastAsia="Nunito" w:cs="Arial"/>
                <w:b/>
                <w:bCs/>
                <w:color w:val="124F1A" w:themeColor="accent3" w:themeShade="BF"/>
                <w:sz w:val="20"/>
                <w:szCs w:val="20"/>
              </w:rPr>
            </w:pPr>
            <w:r w:rsidRPr="000C5171">
              <w:rPr>
                <w:rFonts w:eastAsia="Nunito" w:cs="Arial"/>
                <w:b/>
                <w:bCs/>
                <w:color w:val="124F1A" w:themeColor="accent3" w:themeShade="BF"/>
                <w:sz w:val="20"/>
                <w:szCs w:val="20"/>
              </w:rPr>
              <w:t>Nombre CONPES</w:t>
            </w:r>
          </w:p>
        </w:tc>
        <w:tc>
          <w:tcPr>
            <w:tcW w:w="1455" w:type="dxa"/>
            <w:tcBorders>
              <w:top w:val="single" w:sz="4" w:space="0" w:color="auto"/>
              <w:left w:val="single" w:sz="4" w:space="0" w:color="auto"/>
              <w:bottom w:val="single" w:sz="4" w:space="0" w:color="auto"/>
              <w:right w:val="single" w:sz="4" w:space="0" w:color="auto"/>
            </w:tcBorders>
            <w:shd w:val="clear" w:color="auto" w:fill="C1F0C7"/>
          </w:tcPr>
          <w:p w14:paraId="52D6917E" w14:textId="77777777" w:rsidR="00DE3C06" w:rsidRPr="000C5171" w:rsidRDefault="00DE3C06" w:rsidP="008A49D0">
            <w:pPr>
              <w:spacing w:after="0" w:line="240" w:lineRule="auto"/>
              <w:jc w:val="center"/>
              <w:rPr>
                <w:rFonts w:eastAsia="Nunito" w:cs="Arial"/>
                <w:b/>
                <w:bCs/>
                <w:color w:val="124F1A" w:themeColor="accent3" w:themeShade="BF"/>
                <w:sz w:val="20"/>
                <w:szCs w:val="20"/>
              </w:rPr>
            </w:pPr>
            <w:r w:rsidRPr="000C5171">
              <w:rPr>
                <w:b/>
                <w:bCs/>
                <w:sz w:val="20"/>
                <w:szCs w:val="20"/>
              </w:rPr>
              <w:t>Acciones Totales</w:t>
            </w:r>
          </w:p>
        </w:tc>
      </w:tr>
      <w:tr w:rsidR="00DE3C06" w:rsidRPr="000C5171" w14:paraId="37371360" w14:textId="77777777" w:rsidTr="008A49D0">
        <w:trPr>
          <w:trHeight w:val="61"/>
        </w:trPr>
        <w:tc>
          <w:tcPr>
            <w:tcW w:w="1146" w:type="dxa"/>
            <w:tcBorders>
              <w:top w:val="single" w:sz="4" w:space="0" w:color="auto"/>
              <w:left w:val="single" w:sz="4" w:space="0" w:color="auto"/>
              <w:bottom w:val="single" w:sz="4" w:space="0" w:color="auto"/>
              <w:right w:val="single" w:sz="4" w:space="0" w:color="auto"/>
            </w:tcBorders>
            <w:tcMar>
              <w:top w:w="0" w:type="dxa"/>
              <w:left w:w="90" w:type="dxa"/>
              <w:bottom w:w="0" w:type="dxa"/>
              <w:right w:w="90" w:type="dxa"/>
            </w:tcMar>
            <w:vAlign w:val="center"/>
            <w:hideMark/>
          </w:tcPr>
          <w:p w14:paraId="4FA14D4F" w14:textId="77777777" w:rsidR="00DE3C06" w:rsidRPr="000C5171" w:rsidRDefault="00DE3C06" w:rsidP="008A49D0">
            <w:pPr>
              <w:spacing w:after="0" w:line="240" w:lineRule="auto"/>
              <w:rPr>
                <w:rFonts w:eastAsia="Nunito" w:cs="Arial"/>
                <w:color w:val="124F1A" w:themeColor="accent3" w:themeShade="BF"/>
                <w:sz w:val="20"/>
                <w:szCs w:val="20"/>
              </w:rPr>
            </w:pPr>
            <w:r w:rsidRPr="000C5171">
              <w:rPr>
                <w:rFonts w:eastAsia="Nunito" w:cs="Arial"/>
                <w:color w:val="124F1A" w:themeColor="accent3" w:themeShade="BF"/>
                <w:sz w:val="20"/>
                <w:szCs w:val="20"/>
              </w:rPr>
              <w:t>3811</w:t>
            </w:r>
          </w:p>
        </w:tc>
        <w:tc>
          <w:tcPr>
            <w:tcW w:w="6312" w:type="dxa"/>
            <w:tcBorders>
              <w:top w:val="single" w:sz="4" w:space="0" w:color="auto"/>
              <w:left w:val="single" w:sz="4" w:space="0" w:color="auto"/>
              <w:bottom w:val="single" w:sz="4" w:space="0" w:color="auto"/>
              <w:right w:val="single" w:sz="4" w:space="0" w:color="auto"/>
            </w:tcBorders>
            <w:tcMar>
              <w:top w:w="0" w:type="dxa"/>
              <w:left w:w="90" w:type="dxa"/>
              <w:bottom w:w="0" w:type="dxa"/>
              <w:right w:w="90" w:type="dxa"/>
            </w:tcMar>
            <w:vAlign w:val="center"/>
            <w:hideMark/>
          </w:tcPr>
          <w:p w14:paraId="7A1FA4BD" w14:textId="77777777" w:rsidR="00DE3C06" w:rsidRPr="000C5171" w:rsidRDefault="00DE3C06" w:rsidP="008A49D0">
            <w:pPr>
              <w:spacing w:after="0" w:line="240" w:lineRule="auto"/>
              <w:rPr>
                <w:rFonts w:eastAsia="Nunito" w:cs="Arial"/>
                <w:color w:val="124F1A" w:themeColor="accent3" w:themeShade="BF"/>
                <w:sz w:val="20"/>
                <w:szCs w:val="20"/>
              </w:rPr>
            </w:pPr>
            <w:r w:rsidRPr="000C5171">
              <w:rPr>
                <w:rFonts w:eastAsia="Nunito" w:cs="Arial"/>
                <w:color w:val="124F1A" w:themeColor="accent3" w:themeShade="BF"/>
                <w:sz w:val="20"/>
                <w:szCs w:val="20"/>
              </w:rPr>
              <w:t>Política y estrategias para el desarrollo agropecuario del departamento de Nariño</w:t>
            </w:r>
          </w:p>
        </w:tc>
        <w:tc>
          <w:tcPr>
            <w:tcW w:w="1455" w:type="dxa"/>
            <w:tcBorders>
              <w:top w:val="single" w:sz="4" w:space="0" w:color="auto"/>
              <w:left w:val="single" w:sz="4" w:space="0" w:color="auto"/>
              <w:bottom w:val="single" w:sz="4" w:space="0" w:color="auto"/>
              <w:right w:val="single" w:sz="4" w:space="0" w:color="auto"/>
            </w:tcBorders>
          </w:tcPr>
          <w:p w14:paraId="2AFFED15" w14:textId="77777777" w:rsidR="00DE3C06" w:rsidRPr="000C5171" w:rsidRDefault="00DE3C06" w:rsidP="008A49D0">
            <w:pPr>
              <w:spacing w:after="0" w:line="240" w:lineRule="auto"/>
              <w:jc w:val="center"/>
              <w:rPr>
                <w:rFonts w:eastAsia="Nunito" w:cs="Arial"/>
                <w:color w:val="124F1A" w:themeColor="accent3" w:themeShade="BF"/>
                <w:sz w:val="20"/>
                <w:szCs w:val="20"/>
              </w:rPr>
            </w:pPr>
            <w:r w:rsidRPr="000C5171">
              <w:rPr>
                <w:rFonts w:eastAsia="Nunito" w:cs="Arial"/>
                <w:color w:val="124F1A" w:themeColor="accent3" w:themeShade="BF"/>
                <w:sz w:val="20"/>
                <w:szCs w:val="20"/>
              </w:rPr>
              <w:t>1</w:t>
            </w:r>
          </w:p>
        </w:tc>
      </w:tr>
      <w:tr w:rsidR="00DE3C06" w:rsidRPr="000C5171" w14:paraId="276E5B94" w14:textId="77777777" w:rsidTr="008A49D0">
        <w:trPr>
          <w:trHeight w:val="279"/>
        </w:trPr>
        <w:tc>
          <w:tcPr>
            <w:tcW w:w="1146" w:type="dxa"/>
            <w:tcBorders>
              <w:top w:val="single" w:sz="4" w:space="0" w:color="auto"/>
              <w:left w:val="single" w:sz="4" w:space="0" w:color="auto"/>
              <w:bottom w:val="single" w:sz="4" w:space="0" w:color="auto"/>
              <w:right w:val="single" w:sz="4" w:space="0" w:color="auto"/>
            </w:tcBorders>
            <w:tcMar>
              <w:top w:w="0" w:type="dxa"/>
              <w:left w:w="90" w:type="dxa"/>
              <w:bottom w:w="0" w:type="dxa"/>
              <w:right w:w="90" w:type="dxa"/>
            </w:tcMar>
            <w:vAlign w:val="center"/>
            <w:hideMark/>
          </w:tcPr>
          <w:p w14:paraId="56EF0E0F" w14:textId="77777777" w:rsidR="00DE3C06" w:rsidRPr="000C5171" w:rsidRDefault="00DE3C06" w:rsidP="008A49D0">
            <w:pPr>
              <w:spacing w:after="0" w:line="240" w:lineRule="auto"/>
              <w:rPr>
                <w:rFonts w:eastAsia="Nunito" w:cs="Arial"/>
                <w:color w:val="124F1A" w:themeColor="accent3" w:themeShade="BF"/>
                <w:sz w:val="20"/>
                <w:szCs w:val="20"/>
              </w:rPr>
            </w:pPr>
            <w:r w:rsidRPr="000C5171">
              <w:rPr>
                <w:rFonts w:eastAsia="Nunito" w:cs="Arial"/>
                <w:color w:val="124F1A" w:themeColor="accent3" w:themeShade="BF"/>
                <w:sz w:val="20"/>
                <w:szCs w:val="20"/>
              </w:rPr>
              <w:t>3886</w:t>
            </w:r>
          </w:p>
        </w:tc>
        <w:tc>
          <w:tcPr>
            <w:tcW w:w="6312" w:type="dxa"/>
            <w:tcBorders>
              <w:top w:val="single" w:sz="4" w:space="0" w:color="auto"/>
              <w:left w:val="single" w:sz="4" w:space="0" w:color="auto"/>
              <w:bottom w:val="single" w:sz="4" w:space="0" w:color="auto"/>
              <w:right w:val="single" w:sz="4" w:space="0" w:color="auto"/>
            </w:tcBorders>
            <w:tcMar>
              <w:top w:w="0" w:type="dxa"/>
              <w:left w:w="90" w:type="dxa"/>
              <w:bottom w:w="0" w:type="dxa"/>
              <w:right w:w="90" w:type="dxa"/>
            </w:tcMar>
            <w:vAlign w:val="center"/>
            <w:hideMark/>
          </w:tcPr>
          <w:p w14:paraId="2BFB3A87" w14:textId="77777777" w:rsidR="00DE3C06" w:rsidRPr="000C5171" w:rsidRDefault="00DE3C06" w:rsidP="008A49D0">
            <w:pPr>
              <w:spacing w:after="0" w:line="240" w:lineRule="auto"/>
              <w:rPr>
                <w:rFonts w:eastAsia="Nunito" w:cs="Arial"/>
                <w:color w:val="124F1A" w:themeColor="accent3" w:themeShade="BF"/>
                <w:sz w:val="20"/>
                <w:szCs w:val="20"/>
              </w:rPr>
            </w:pPr>
            <w:r w:rsidRPr="000C5171">
              <w:rPr>
                <w:rFonts w:eastAsia="Nunito" w:cs="Arial"/>
                <w:color w:val="124F1A" w:themeColor="accent3" w:themeShade="BF"/>
                <w:sz w:val="20"/>
                <w:szCs w:val="20"/>
              </w:rPr>
              <w:t>Lineamientos de política y programa nacional de pago por servicios ambientales para la construcción de paz</w:t>
            </w:r>
          </w:p>
        </w:tc>
        <w:tc>
          <w:tcPr>
            <w:tcW w:w="1455" w:type="dxa"/>
            <w:tcBorders>
              <w:top w:val="single" w:sz="4" w:space="0" w:color="auto"/>
              <w:left w:val="single" w:sz="4" w:space="0" w:color="auto"/>
              <w:right w:val="single" w:sz="4" w:space="0" w:color="auto"/>
            </w:tcBorders>
          </w:tcPr>
          <w:p w14:paraId="60012827" w14:textId="77777777" w:rsidR="00DE3C06" w:rsidRPr="000C5171" w:rsidRDefault="00DE3C06" w:rsidP="008A49D0">
            <w:pPr>
              <w:spacing w:after="0" w:line="240" w:lineRule="auto"/>
              <w:jc w:val="center"/>
              <w:rPr>
                <w:rFonts w:eastAsia="Nunito" w:cs="Arial"/>
                <w:color w:val="124F1A" w:themeColor="accent3" w:themeShade="BF"/>
                <w:sz w:val="20"/>
                <w:szCs w:val="20"/>
              </w:rPr>
            </w:pPr>
            <w:r w:rsidRPr="000C5171">
              <w:rPr>
                <w:rFonts w:eastAsia="Nunito" w:cs="Arial"/>
                <w:color w:val="124F1A" w:themeColor="accent3" w:themeShade="BF"/>
                <w:sz w:val="20"/>
                <w:szCs w:val="20"/>
              </w:rPr>
              <w:t>2</w:t>
            </w:r>
          </w:p>
        </w:tc>
      </w:tr>
      <w:tr w:rsidR="00DE3C06" w:rsidRPr="000C5171" w14:paraId="735236F0" w14:textId="77777777" w:rsidTr="008A49D0">
        <w:trPr>
          <w:trHeight w:val="138"/>
        </w:trPr>
        <w:tc>
          <w:tcPr>
            <w:tcW w:w="1146" w:type="dxa"/>
            <w:tcBorders>
              <w:top w:val="single" w:sz="4" w:space="0" w:color="auto"/>
              <w:left w:val="single" w:sz="4" w:space="0" w:color="auto"/>
              <w:bottom w:val="single" w:sz="4" w:space="0" w:color="auto"/>
              <w:right w:val="single" w:sz="4" w:space="0" w:color="auto"/>
            </w:tcBorders>
            <w:tcMar>
              <w:top w:w="0" w:type="dxa"/>
              <w:left w:w="90" w:type="dxa"/>
              <w:bottom w:w="0" w:type="dxa"/>
              <w:right w:w="90" w:type="dxa"/>
            </w:tcMar>
            <w:vAlign w:val="center"/>
            <w:hideMark/>
          </w:tcPr>
          <w:p w14:paraId="4FBBF676" w14:textId="77777777" w:rsidR="00DE3C06" w:rsidRPr="000C5171" w:rsidRDefault="00DE3C06" w:rsidP="008A49D0">
            <w:pPr>
              <w:spacing w:after="0" w:line="240" w:lineRule="auto"/>
              <w:rPr>
                <w:rFonts w:eastAsia="Nunito" w:cs="Arial"/>
                <w:color w:val="124F1A" w:themeColor="accent3" w:themeShade="BF"/>
                <w:sz w:val="20"/>
                <w:szCs w:val="20"/>
              </w:rPr>
            </w:pPr>
            <w:r w:rsidRPr="000C5171">
              <w:rPr>
                <w:rFonts w:eastAsia="Nunito" w:cs="Arial"/>
                <w:color w:val="124F1A" w:themeColor="accent3" w:themeShade="BF"/>
                <w:sz w:val="20"/>
                <w:szCs w:val="20"/>
              </w:rPr>
              <w:t>3931</w:t>
            </w:r>
          </w:p>
        </w:tc>
        <w:tc>
          <w:tcPr>
            <w:tcW w:w="6312" w:type="dxa"/>
            <w:tcBorders>
              <w:top w:val="single" w:sz="4" w:space="0" w:color="auto"/>
              <w:left w:val="single" w:sz="4" w:space="0" w:color="auto"/>
              <w:bottom w:val="single" w:sz="4" w:space="0" w:color="auto"/>
              <w:right w:val="single" w:sz="4" w:space="0" w:color="auto"/>
            </w:tcBorders>
            <w:tcMar>
              <w:top w:w="0" w:type="dxa"/>
              <w:left w:w="90" w:type="dxa"/>
              <w:bottom w:w="0" w:type="dxa"/>
              <w:right w:w="90" w:type="dxa"/>
            </w:tcMar>
            <w:vAlign w:val="center"/>
            <w:hideMark/>
          </w:tcPr>
          <w:p w14:paraId="78EAE175" w14:textId="77777777" w:rsidR="00DE3C06" w:rsidRPr="000C5171" w:rsidRDefault="00DE3C06" w:rsidP="008A49D0">
            <w:pPr>
              <w:spacing w:after="0" w:line="240" w:lineRule="auto"/>
              <w:rPr>
                <w:rFonts w:eastAsia="Nunito" w:cs="Arial"/>
                <w:color w:val="124F1A" w:themeColor="accent3" w:themeShade="BF"/>
                <w:sz w:val="20"/>
                <w:szCs w:val="20"/>
              </w:rPr>
            </w:pPr>
            <w:r w:rsidRPr="000C5171">
              <w:rPr>
                <w:rFonts w:eastAsia="Nunito" w:cs="Arial"/>
                <w:color w:val="124F1A" w:themeColor="accent3" w:themeShade="BF"/>
                <w:sz w:val="20"/>
                <w:szCs w:val="20"/>
              </w:rPr>
              <w:t>Política Nacional para la reincorporación social y económica de exintegrantes de las FARC-EP</w:t>
            </w:r>
          </w:p>
        </w:tc>
        <w:tc>
          <w:tcPr>
            <w:tcW w:w="1455" w:type="dxa"/>
            <w:vMerge w:val="restart"/>
            <w:tcBorders>
              <w:top w:val="single" w:sz="4" w:space="0" w:color="auto"/>
              <w:left w:val="single" w:sz="4" w:space="0" w:color="auto"/>
              <w:right w:val="single" w:sz="4" w:space="0" w:color="auto"/>
            </w:tcBorders>
          </w:tcPr>
          <w:p w14:paraId="65D8487A" w14:textId="77777777" w:rsidR="00DE3C06" w:rsidRPr="000C5171" w:rsidRDefault="00DE3C06" w:rsidP="008A49D0">
            <w:pPr>
              <w:spacing w:after="0" w:line="240" w:lineRule="auto"/>
              <w:jc w:val="center"/>
              <w:rPr>
                <w:rFonts w:eastAsia="Nunito" w:cs="Arial"/>
                <w:color w:val="124F1A" w:themeColor="accent3" w:themeShade="BF"/>
                <w:sz w:val="20"/>
                <w:szCs w:val="20"/>
              </w:rPr>
            </w:pPr>
            <w:r w:rsidRPr="000C5171">
              <w:rPr>
                <w:rFonts w:eastAsia="Nunito" w:cs="Arial"/>
                <w:color w:val="124F1A" w:themeColor="accent3" w:themeShade="BF"/>
                <w:sz w:val="20"/>
                <w:szCs w:val="20"/>
              </w:rPr>
              <w:t>1</w:t>
            </w:r>
          </w:p>
          <w:p w14:paraId="35615DA4" w14:textId="77777777" w:rsidR="00DE3C06" w:rsidRPr="000C5171" w:rsidRDefault="00DE3C06" w:rsidP="008A49D0">
            <w:pPr>
              <w:spacing w:after="0" w:line="240" w:lineRule="auto"/>
              <w:jc w:val="center"/>
              <w:rPr>
                <w:rFonts w:eastAsia="Nunito" w:cs="Arial"/>
                <w:color w:val="124F1A" w:themeColor="accent3" w:themeShade="BF"/>
                <w:sz w:val="20"/>
                <w:szCs w:val="20"/>
              </w:rPr>
            </w:pPr>
            <w:r w:rsidRPr="000C5171">
              <w:rPr>
                <w:rFonts w:eastAsia="Nunito" w:cs="Arial"/>
                <w:color w:val="124F1A" w:themeColor="accent3" w:themeShade="BF"/>
                <w:sz w:val="20"/>
                <w:szCs w:val="20"/>
              </w:rPr>
              <w:t>2</w:t>
            </w:r>
          </w:p>
        </w:tc>
      </w:tr>
      <w:tr w:rsidR="00DE3C06" w:rsidRPr="000C5171" w14:paraId="01E41688" w14:textId="77777777" w:rsidTr="008A49D0">
        <w:trPr>
          <w:trHeight w:val="279"/>
        </w:trPr>
        <w:tc>
          <w:tcPr>
            <w:tcW w:w="1146" w:type="dxa"/>
            <w:tcBorders>
              <w:top w:val="single" w:sz="4" w:space="0" w:color="auto"/>
              <w:left w:val="single" w:sz="4" w:space="0" w:color="auto"/>
              <w:bottom w:val="single" w:sz="4" w:space="0" w:color="auto"/>
              <w:right w:val="single" w:sz="4" w:space="0" w:color="auto"/>
            </w:tcBorders>
            <w:tcMar>
              <w:top w:w="0" w:type="dxa"/>
              <w:left w:w="90" w:type="dxa"/>
              <w:bottom w:w="0" w:type="dxa"/>
              <w:right w:w="90" w:type="dxa"/>
            </w:tcMar>
            <w:vAlign w:val="center"/>
            <w:hideMark/>
          </w:tcPr>
          <w:p w14:paraId="341297A4" w14:textId="77777777" w:rsidR="00DE3C06" w:rsidRPr="000C5171" w:rsidRDefault="00DE3C06" w:rsidP="008A49D0">
            <w:pPr>
              <w:spacing w:after="0" w:line="240" w:lineRule="auto"/>
              <w:rPr>
                <w:rFonts w:eastAsia="Nunito" w:cs="Arial"/>
                <w:color w:val="124F1A" w:themeColor="accent3" w:themeShade="BF"/>
                <w:sz w:val="20"/>
                <w:szCs w:val="20"/>
              </w:rPr>
            </w:pPr>
            <w:r w:rsidRPr="000C5171">
              <w:rPr>
                <w:rFonts w:eastAsia="Nunito" w:cs="Arial"/>
                <w:color w:val="124F1A" w:themeColor="accent3" w:themeShade="BF"/>
                <w:sz w:val="20"/>
                <w:szCs w:val="20"/>
              </w:rPr>
              <w:t>3932</w:t>
            </w:r>
          </w:p>
        </w:tc>
        <w:tc>
          <w:tcPr>
            <w:tcW w:w="6312" w:type="dxa"/>
            <w:tcBorders>
              <w:top w:val="single" w:sz="4" w:space="0" w:color="auto"/>
              <w:left w:val="single" w:sz="4" w:space="0" w:color="auto"/>
              <w:bottom w:val="single" w:sz="4" w:space="0" w:color="auto"/>
              <w:right w:val="single" w:sz="4" w:space="0" w:color="auto"/>
            </w:tcBorders>
            <w:tcMar>
              <w:top w:w="0" w:type="dxa"/>
              <w:left w:w="90" w:type="dxa"/>
              <w:bottom w:w="0" w:type="dxa"/>
              <w:right w:w="90" w:type="dxa"/>
            </w:tcMar>
            <w:vAlign w:val="center"/>
            <w:hideMark/>
          </w:tcPr>
          <w:p w14:paraId="48502B32" w14:textId="77777777" w:rsidR="00DE3C06" w:rsidRPr="000C5171" w:rsidRDefault="00DE3C06" w:rsidP="008A49D0">
            <w:pPr>
              <w:spacing w:after="0" w:line="240" w:lineRule="auto"/>
              <w:rPr>
                <w:rFonts w:eastAsia="Nunito" w:cs="Arial"/>
                <w:color w:val="124F1A" w:themeColor="accent3" w:themeShade="BF"/>
                <w:sz w:val="20"/>
                <w:szCs w:val="20"/>
              </w:rPr>
            </w:pPr>
            <w:r w:rsidRPr="000C5171">
              <w:rPr>
                <w:rFonts w:eastAsia="Nunito" w:cs="Arial"/>
                <w:color w:val="124F1A" w:themeColor="accent3" w:themeShade="BF"/>
                <w:sz w:val="20"/>
                <w:szCs w:val="20"/>
              </w:rPr>
              <w:t>Lineamientos para la articulación del Plan Marco de Implementación del acuerdo final con los instrumentos de planeación, programación y seguimiento a políticas públicas del orden nacional y territorial</w:t>
            </w:r>
          </w:p>
        </w:tc>
        <w:tc>
          <w:tcPr>
            <w:tcW w:w="1455" w:type="dxa"/>
            <w:vMerge/>
            <w:tcBorders>
              <w:left w:val="single" w:sz="4" w:space="0" w:color="auto"/>
              <w:bottom w:val="single" w:sz="4" w:space="0" w:color="auto"/>
              <w:right w:val="single" w:sz="4" w:space="0" w:color="auto"/>
            </w:tcBorders>
          </w:tcPr>
          <w:p w14:paraId="4695F4FB" w14:textId="77777777" w:rsidR="00DE3C06" w:rsidRPr="000C5171" w:rsidRDefault="00DE3C06" w:rsidP="008A49D0">
            <w:pPr>
              <w:spacing w:after="0" w:line="240" w:lineRule="auto"/>
              <w:jc w:val="center"/>
              <w:rPr>
                <w:rFonts w:eastAsia="Nunito" w:cs="Arial"/>
                <w:color w:val="124F1A" w:themeColor="accent3" w:themeShade="BF"/>
                <w:sz w:val="20"/>
                <w:szCs w:val="20"/>
              </w:rPr>
            </w:pPr>
          </w:p>
        </w:tc>
      </w:tr>
      <w:tr w:rsidR="00DE3C06" w:rsidRPr="000C5171" w14:paraId="5BEDC6C1" w14:textId="77777777" w:rsidTr="008A49D0">
        <w:trPr>
          <w:trHeight w:val="279"/>
        </w:trPr>
        <w:tc>
          <w:tcPr>
            <w:tcW w:w="1146" w:type="dxa"/>
            <w:tcBorders>
              <w:top w:val="single" w:sz="4" w:space="0" w:color="auto"/>
              <w:left w:val="single" w:sz="4" w:space="0" w:color="auto"/>
              <w:bottom w:val="single" w:sz="4" w:space="0" w:color="auto"/>
              <w:right w:val="single" w:sz="4" w:space="0" w:color="auto"/>
            </w:tcBorders>
            <w:tcMar>
              <w:top w:w="0" w:type="dxa"/>
              <w:left w:w="90" w:type="dxa"/>
              <w:bottom w:w="0" w:type="dxa"/>
              <w:right w:w="90" w:type="dxa"/>
            </w:tcMar>
            <w:vAlign w:val="center"/>
            <w:hideMark/>
          </w:tcPr>
          <w:p w14:paraId="26410E9D" w14:textId="77777777" w:rsidR="00DE3C06" w:rsidRPr="000C5171" w:rsidRDefault="00DE3C06" w:rsidP="008A49D0">
            <w:pPr>
              <w:spacing w:after="0" w:line="240" w:lineRule="auto"/>
              <w:rPr>
                <w:rFonts w:eastAsia="Nunito" w:cs="Arial"/>
                <w:color w:val="124F1A" w:themeColor="accent3" w:themeShade="BF"/>
                <w:sz w:val="20"/>
                <w:szCs w:val="20"/>
              </w:rPr>
            </w:pPr>
            <w:r w:rsidRPr="000C5171">
              <w:rPr>
                <w:rFonts w:eastAsia="Nunito" w:cs="Arial"/>
                <w:color w:val="124F1A" w:themeColor="accent3" w:themeShade="BF"/>
                <w:sz w:val="20"/>
                <w:szCs w:val="20"/>
              </w:rPr>
              <w:t>4021</w:t>
            </w:r>
          </w:p>
        </w:tc>
        <w:tc>
          <w:tcPr>
            <w:tcW w:w="6312" w:type="dxa"/>
            <w:tcBorders>
              <w:top w:val="single" w:sz="4" w:space="0" w:color="auto"/>
              <w:left w:val="single" w:sz="4" w:space="0" w:color="auto"/>
              <w:bottom w:val="single" w:sz="4" w:space="0" w:color="auto"/>
              <w:right w:val="single" w:sz="4" w:space="0" w:color="auto"/>
            </w:tcBorders>
            <w:tcMar>
              <w:top w:w="0" w:type="dxa"/>
              <w:left w:w="90" w:type="dxa"/>
              <w:bottom w:w="0" w:type="dxa"/>
              <w:right w:w="90" w:type="dxa"/>
            </w:tcMar>
            <w:vAlign w:val="center"/>
            <w:hideMark/>
          </w:tcPr>
          <w:p w14:paraId="28DA6126" w14:textId="77777777" w:rsidR="00DE3C06" w:rsidRPr="000C5171" w:rsidRDefault="00DE3C06" w:rsidP="008A49D0">
            <w:pPr>
              <w:spacing w:after="0" w:line="240" w:lineRule="auto"/>
              <w:rPr>
                <w:rFonts w:eastAsia="Nunito" w:cs="Arial"/>
                <w:color w:val="124F1A" w:themeColor="accent3" w:themeShade="BF"/>
                <w:sz w:val="20"/>
                <w:szCs w:val="20"/>
              </w:rPr>
            </w:pPr>
            <w:r w:rsidRPr="000C5171">
              <w:rPr>
                <w:rFonts w:eastAsia="Nunito" w:cs="Arial"/>
                <w:color w:val="124F1A" w:themeColor="accent3" w:themeShade="BF"/>
                <w:sz w:val="20"/>
                <w:szCs w:val="20"/>
              </w:rPr>
              <w:t>Política Nacional para el control de la deforestación y la gestión sostenible de los bosques</w:t>
            </w:r>
          </w:p>
        </w:tc>
        <w:tc>
          <w:tcPr>
            <w:tcW w:w="1455" w:type="dxa"/>
            <w:tcBorders>
              <w:top w:val="single" w:sz="4" w:space="0" w:color="auto"/>
              <w:left w:val="single" w:sz="4" w:space="0" w:color="auto"/>
              <w:right w:val="single" w:sz="4" w:space="0" w:color="auto"/>
            </w:tcBorders>
          </w:tcPr>
          <w:p w14:paraId="5CCDBD8E" w14:textId="77777777" w:rsidR="00DE3C06" w:rsidRPr="000C5171" w:rsidRDefault="00DE3C06" w:rsidP="008A49D0">
            <w:pPr>
              <w:spacing w:after="0" w:line="240" w:lineRule="auto"/>
              <w:jc w:val="center"/>
              <w:rPr>
                <w:rFonts w:eastAsia="Nunito" w:cs="Arial"/>
                <w:color w:val="124F1A" w:themeColor="accent3" w:themeShade="BF"/>
                <w:sz w:val="20"/>
                <w:szCs w:val="20"/>
              </w:rPr>
            </w:pPr>
            <w:r w:rsidRPr="000C5171">
              <w:rPr>
                <w:rFonts w:eastAsia="Nunito" w:cs="Arial"/>
                <w:color w:val="124F1A" w:themeColor="accent3" w:themeShade="BF"/>
                <w:sz w:val="20"/>
                <w:szCs w:val="20"/>
              </w:rPr>
              <w:t>2</w:t>
            </w:r>
          </w:p>
        </w:tc>
      </w:tr>
      <w:tr w:rsidR="00DE3C06" w:rsidRPr="000C5171" w14:paraId="513F339B" w14:textId="77777777" w:rsidTr="008A49D0">
        <w:trPr>
          <w:trHeight w:val="376"/>
        </w:trPr>
        <w:tc>
          <w:tcPr>
            <w:tcW w:w="1146" w:type="dxa"/>
            <w:tcBorders>
              <w:top w:val="single" w:sz="4" w:space="0" w:color="auto"/>
              <w:left w:val="single" w:sz="4" w:space="0" w:color="auto"/>
              <w:right w:val="single" w:sz="4" w:space="0" w:color="auto"/>
            </w:tcBorders>
            <w:tcMar>
              <w:top w:w="0" w:type="dxa"/>
              <w:left w:w="90" w:type="dxa"/>
              <w:bottom w:w="0" w:type="dxa"/>
              <w:right w:w="90" w:type="dxa"/>
            </w:tcMar>
            <w:vAlign w:val="center"/>
            <w:hideMark/>
          </w:tcPr>
          <w:p w14:paraId="4BEEAF9B" w14:textId="77777777" w:rsidR="00DE3C06" w:rsidRPr="000C5171" w:rsidRDefault="00DE3C06" w:rsidP="008A49D0">
            <w:pPr>
              <w:spacing w:after="0" w:line="240" w:lineRule="auto"/>
              <w:rPr>
                <w:rFonts w:eastAsia="Nunito" w:cs="Arial"/>
                <w:color w:val="124F1A" w:themeColor="accent3" w:themeShade="BF"/>
                <w:sz w:val="20"/>
                <w:szCs w:val="20"/>
              </w:rPr>
            </w:pPr>
            <w:r w:rsidRPr="000C5171">
              <w:rPr>
                <w:rFonts w:eastAsia="Nunito" w:cs="Arial"/>
                <w:color w:val="124F1A" w:themeColor="accent3" w:themeShade="BF"/>
                <w:sz w:val="20"/>
                <w:szCs w:val="20"/>
              </w:rPr>
              <w:t>4031</w:t>
            </w:r>
          </w:p>
        </w:tc>
        <w:tc>
          <w:tcPr>
            <w:tcW w:w="6312" w:type="dxa"/>
            <w:tcBorders>
              <w:top w:val="single" w:sz="4" w:space="0" w:color="auto"/>
              <w:left w:val="single" w:sz="4" w:space="0" w:color="auto"/>
              <w:bottom w:val="single" w:sz="4" w:space="0" w:color="auto"/>
              <w:right w:val="single" w:sz="4" w:space="0" w:color="auto"/>
            </w:tcBorders>
            <w:tcMar>
              <w:top w:w="0" w:type="dxa"/>
              <w:left w:w="90" w:type="dxa"/>
              <w:bottom w:w="0" w:type="dxa"/>
              <w:right w:w="90" w:type="dxa"/>
            </w:tcMar>
            <w:vAlign w:val="center"/>
            <w:hideMark/>
          </w:tcPr>
          <w:p w14:paraId="1ED3B0D1" w14:textId="77777777" w:rsidR="00DE3C06" w:rsidRPr="000C5171" w:rsidRDefault="00DE3C06" w:rsidP="008A49D0">
            <w:pPr>
              <w:spacing w:after="0" w:line="240" w:lineRule="auto"/>
              <w:rPr>
                <w:rFonts w:eastAsia="Nunito" w:cs="Arial"/>
                <w:color w:val="124F1A" w:themeColor="accent3" w:themeShade="BF"/>
                <w:sz w:val="20"/>
                <w:szCs w:val="20"/>
              </w:rPr>
            </w:pPr>
            <w:r w:rsidRPr="000C5171">
              <w:rPr>
                <w:rFonts w:eastAsia="Nunito" w:cs="Arial"/>
                <w:color w:val="124F1A" w:themeColor="accent3" w:themeShade="BF"/>
                <w:sz w:val="20"/>
                <w:szCs w:val="20"/>
              </w:rPr>
              <w:t>Política Nacional de Atención y Reparación Integral a las Víctimas</w:t>
            </w:r>
          </w:p>
        </w:tc>
        <w:tc>
          <w:tcPr>
            <w:tcW w:w="1455" w:type="dxa"/>
            <w:tcBorders>
              <w:top w:val="single" w:sz="4" w:space="0" w:color="auto"/>
              <w:left w:val="single" w:sz="4" w:space="0" w:color="auto"/>
              <w:right w:val="single" w:sz="4" w:space="0" w:color="auto"/>
            </w:tcBorders>
          </w:tcPr>
          <w:p w14:paraId="3A32FDCB" w14:textId="77777777" w:rsidR="00DE3C06" w:rsidRPr="000C5171" w:rsidRDefault="00DE3C06" w:rsidP="008A49D0">
            <w:pPr>
              <w:spacing w:after="0" w:line="240" w:lineRule="auto"/>
              <w:jc w:val="center"/>
              <w:rPr>
                <w:rFonts w:eastAsia="Nunito" w:cs="Arial"/>
                <w:color w:val="124F1A" w:themeColor="accent3" w:themeShade="BF"/>
                <w:sz w:val="20"/>
                <w:szCs w:val="20"/>
              </w:rPr>
            </w:pPr>
            <w:r w:rsidRPr="000C5171">
              <w:rPr>
                <w:rFonts w:eastAsia="Nunito" w:cs="Arial"/>
                <w:color w:val="124F1A" w:themeColor="accent3" w:themeShade="BF"/>
                <w:sz w:val="20"/>
                <w:szCs w:val="20"/>
              </w:rPr>
              <w:t>2</w:t>
            </w:r>
          </w:p>
        </w:tc>
      </w:tr>
      <w:tr w:rsidR="00DE3C06" w:rsidRPr="000C5171" w14:paraId="4A801A58" w14:textId="77777777" w:rsidTr="008A49D0">
        <w:trPr>
          <w:trHeight w:val="138"/>
        </w:trPr>
        <w:tc>
          <w:tcPr>
            <w:tcW w:w="1146" w:type="dxa"/>
            <w:tcBorders>
              <w:top w:val="single" w:sz="4" w:space="0" w:color="auto"/>
              <w:left w:val="single" w:sz="4" w:space="0" w:color="auto"/>
              <w:bottom w:val="single" w:sz="4" w:space="0" w:color="auto"/>
              <w:right w:val="single" w:sz="4" w:space="0" w:color="auto"/>
            </w:tcBorders>
            <w:tcMar>
              <w:top w:w="0" w:type="dxa"/>
              <w:left w:w="90" w:type="dxa"/>
              <w:bottom w:w="0" w:type="dxa"/>
              <w:right w:w="90" w:type="dxa"/>
            </w:tcMar>
            <w:vAlign w:val="center"/>
            <w:hideMark/>
          </w:tcPr>
          <w:p w14:paraId="00AB9981" w14:textId="77777777" w:rsidR="00DE3C06" w:rsidRPr="000C5171" w:rsidRDefault="00DE3C06" w:rsidP="008A49D0">
            <w:pPr>
              <w:spacing w:after="0" w:line="240" w:lineRule="auto"/>
              <w:rPr>
                <w:rFonts w:eastAsia="Nunito" w:cs="Arial"/>
                <w:color w:val="124F1A" w:themeColor="accent3" w:themeShade="BF"/>
                <w:sz w:val="20"/>
                <w:szCs w:val="20"/>
              </w:rPr>
            </w:pPr>
            <w:r w:rsidRPr="000C5171">
              <w:rPr>
                <w:rFonts w:eastAsia="Nunito" w:cs="Arial"/>
                <w:color w:val="124F1A" w:themeColor="accent3" w:themeShade="BF"/>
                <w:sz w:val="20"/>
                <w:szCs w:val="20"/>
              </w:rPr>
              <w:t>4040</w:t>
            </w:r>
          </w:p>
        </w:tc>
        <w:tc>
          <w:tcPr>
            <w:tcW w:w="6312" w:type="dxa"/>
            <w:tcBorders>
              <w:top w:val="single" w:sz="4" w:space="0" w:color="auto"/>
              <w:left w:val="single" w:sz="4" w:space="0" w:color="auto"/>
              <w:bottom w:val="single" w:sz="4" w:space="0" w:color="auto"/>
              <w:right w:val="single" w:sz="4" w:space="0" w:color="auto"/>
            </w:tcBorders>
            <w:tcMar>
              <w:top w:w="0" w:type="dxa"/>
              <w:left w:w="90" w:type="dxa"/>
              <w:bottom w:w="0" w:type="dxa"/>
              <w:right w:w="90" w:type="dxa"/>
            </w:tcMar>
            <w:vAlign w:val="center"/>
            <w:hideMark/>
          </w:tcPr>
          <w:p w14:paraId="522C9552" w14:textId="77777777" w:rsidR="00DE3C06" w:rsidRPr="000C5171" w:rsidRDefault="00DE3C06" w:rsidP="008A49D0">
            <w:pPr>
              <w:spacing w:after="0" w:line="240" w:lineRule="auto"/>
              <w:rPr>
                <w:rFonts w:eastAsia="Nunito" w:cs="Arial"/>
                <w:color w:val="124F1A" w:themeColor="accent3" w:themeShade="BF"/>
                <w:sz w:val="20"/>
                <w:szCs w:val="20"/>
              </w:rPr>
            </w:pPr>
            <w:r w:rsidRPr="000C5171">
              <w:rPr>
                <w:rFonts w:eastAsia="Nunito" w:cs="Arial"/>
                <w:color w:val="124F1A" w:themeColor="accent3" w:themeShade="BF"/>
                <w:sz w:val="20"/>
                <w:szCs w:val="20"/>
              </w:rPr>
              <w:t>Pacto Colombia con las juventudes: Estrategia para fortalecer el desarrollo integral de la juventud</w:t>
            </w:r>
          </w:p>
        </w:tc>
        <w:tc>
          <w:tcPr>
            <w:tcW w:w="1455" w:type="dxa"/>
            <w:tcBorders>
              <w:top w:val="single" w:sz="4" w:space="0" w:color="auto"/>
              <w:left w:val="single" w:sz="4" w:space="0" w:color="auto"/>
              <w:bottom w:val="single" w:sz="4" w:space="0" w:color="auto"/>
              <w:right w:val="single" w:sz="4" w:space="0" w:color="auto"/>
            </w:tcBorders>
          </w:tcPr>
          <w:p w14:paraId="1369521F" w14:textId="77777777" w:rsidR="00DE3C06" w:rsidRPr="000C5171" w:rsidRDefault="00DE3C06" w:rsidP="008A49D0">
            <w:pPr>
              <w:spacing w:after="0" w:line="240" w:lineRule="auto"/>
              <w:jc w:val="center"/>
              <w:rPr>
                <w:rFonts w:eastAsia="Nunito" w:cs="Arial"/>
                <w:color w:val="124F1A" w:themeColor="accent3" w:themeShade="BF"/>
                <w:sz w:val="20"/>
                <w:szCs w:val="20"/>
              </w:rPr>
            </w:pPr>
            <w:r w:rsidRPr="000C5171">
              <w:rPr>
                <w:rFonts w:eastAsia="Nunito" w:cs="Arial"/>
                <w:color w:val="124F1A" w:themeColor="accent3" w:themeShade="BF"/>
                <w:sz w:val="20"/>
                <w:szCs w:val="20"/>
              </w:rPr>
              <w:t>5</w:t>
            </w:r>
          </w:p>
        </w:tc>
      </w:tr>
      <w:tr w:rsidR="00DE3C06" w:rsidRPr="000C5171" w14:paraId="08AC7CAD" w14:textId="77777777" w:rsidTr="008A49D0">
        <w:trPr>
          <w:trHeight w:val="324"/>
        </w:trPr>
        <w:tc>
          <w:tcPr>
            <w:tcW w:w="1146" w:type="dxa"/>
            <w:tcBorders>
              <w:top w:val="single" w:sz="4" w:space="0" w:color="auto"/>
              <w:left w:val="single" w:sz="4" w:space="0" w:color="auto"/>
              <w:bottom w:val="single" w:sz="4" w:space="0" w:color="auto"/>
              <w:right w:val="single" w:sz="4" w:space="0" w:color="auto"/>
            </w:tcBorders>
            <w:tcMar>
              <w:top w:w="0" w:type="dxa"/>
              <w:left w:w="90" w:type="dxa"/>
              <w:bottom w:w="0" w:type="dxa"/>
              <w:right w:w="90" w:type="dxa"/>
            </w:tcMar>
            <w:vAlign w:val="center"/>
            <w:hideMark/>
          </w:tcPr>
          <w:p w14:paraId="2F7F8CD1" w14:textId="77777777" w:rsidR="00DE3C06" w:rsidRPr="000C5171" w:rsidRDefault="00DE3C06" w:rsidP="008A49D0">
            <w:pPr>
              <w:spacing w:after="0" w:line="240" w:lineRule="auto"/>
              <w:rPr>
                <w:rFonts w:eastAsia="Nunito" w:cs="Arial"/>
                <w:color w:val="124F1A" w:themeColor="accent3" w:themeShade="BF"/>
                <w:sz w:val="20"/>
                <w:szCs w:val="20"/>
              </w:rPr>
            </w:pPr>
            <w:r w:rsidRPr="000C5171">
              <w:rPr>
                <w:rFonts w:eastAsia="Nunito" w:cs="Arial"/>
                <w:color w:val="124F1A" w:themeColor="accent3" w:themeShade="BF"/>
                <w:sz w:val="20"/>
                <w:szCs w:val="20"/>
              </w:rPr>
              <w:t>4080</w:t>
            </w:r>
          </w:p>
        </w:tc>
        <w:tc>
          <w:tcPr>
            <w:tcW w:w="6312" w:type="dxa"/>
            <w:tcBorders>
              <w:top w:val="single" w:sz="4" w:space="0" w:color="auto"/>
              <w:left w:val="single" w:sz="4" w:space="0" w:color="auto"/>
              <w:bottom w:val="single" w:sz="4" w:space="0" w:color="auto"/>
              <w:right w:val="single" w:sz="4" w:space="0" w:color="auto"/>
            </w:tcBorders>
            <w:tcMar>
              <w:top w:w="0" w:type="dxa"/>
              <w:left w:w="90" w:type="dxa"/>
              <w:bottom w:w="0" w:type="dxa"/>
              <w:right w:w="90" w:type="dxa"/>
            </w:tcMar>
            <w:vAlign w:val="center"/>
            <w:hideMark/>
          </w:tcPr>
          <w:p w14:paraId="4B4A0884" w14:textId="77777777" w:rsidR="00DE3C06" w:rsidRPr="000C5171" w:rsidRDefault="00DE3C06" w:rsidP="008A49D0">
            <w:pPr>
              <w:spacing w:after="0" w:line="240" w:lineRule="auto"/>
              <w:rPr>
                <w:rFonts w:eastAsia="Nunito" w:cs="Arial"/>
                <w:color w:val="124F1A" w:themeColor="accent3" w:themeShade="BF"/>
                <w:sz w:val="20"/>
                <w:szCs w:val="20"/>
              </w:rPr>
            </w:pPr>
            <w:r w:rsidRPr="000C5171">
              <w:rPr>
                <w:rFonts w:eastAsia="Nunito" w:cs="Arial"/>
                <w:color w:val="124F1A" w:themeColor="accent3" w:themeShade="BF"/>
                <w:sz w:val="20"/>
                <w:szCs w:val="20"/>
              </w:rPr>
              <w:t>Política Pública de equidad de género para las mujeres: hacia el desarrollo sostenible del país</w:t>
            </w:r>
          </w:p>
        </w:tc>
        <w:tc>
          <w:tcPr>
            <w:tcW w:w="1455" w:type="dxa"/>
            <w:tcBorders>
              <w:top w:val="single" w:sz="4" w:space="0" w:color="auto"/>
              <w:left w:val="single" w:sz="4" w:space="0" w:color="auto"/>
              <w:right w:val="single" w:sz="4" w:space="0" w:color="auto"/>
            </w:tcBorders>
          </w:tcPr>
          <w:p w14:paraId="72357A94" w14:textId="77777777" w:rsidR="00DE3C06" w:rsidRPr="000C5171" w:rsidRDefault="00DE3C06" w:rsidP="008A49D0">
            <w:pPr>
              <w:spacing w:after="0" w:line="240" w:lineRule="auto"/>
              <w:jc w:val="center"/>
              <w:rPr>
                <w:rFonts w:eastAsia="Nunito" w:cs="Arial"/>
                <w:color w:val="124F1A" w:themeColor="accent3" w:themeShade="BF"/>
                <w:sz w:val="20"/>
                <w:szCs w:val="20"/>
              </w:rPr>
            </w:pPr>
            <w:r w:rsidRPr="000C5171">
              <w:rPr>
                <w:rFonts w:eastAsia="Nunito" w:cs="Arial"/>
                <w:color w:val="124F1A" w:themeColor="accent3" w:themeShade="BF"/>
                <w:sz w:val="20"/>
                <w:szCs w:val="20"/>
              </w:rPr>
              <w:t>1</w:t>
            </w:r>
          </w:p>
        </w:tc>
      </w:tr>
    </w:tbl>
    <w:p w14:paraId="5C37A488" w14:textId="77777777" w:rsidR="00DE3C06" w:rsidRPr="000C5171" w:rsidRDefault="00DE3C06" w:rsidP="00DE3C06">
      <w:pPr>
        <w:spacing w:line="276" w:lineRule="auto"/>
        <w:jc w:val="center"/>
        <w:rPr>
          <w:rFonts w:cs="Arial"/>
          <w:sz w:val="20"/>
          <w:szCs w:val="20"/>
        </w:rPr>
      </w:pPr>
      <w:r w:rsidRPr="000C5171">
        <w:rPr>
          <w:rFonts w:cs="Arial"/>
          <w:sz w:val="20"/>
          <w:szCs w:val="20"/>
        </w:rPr>
        <w:t>Fuente: SISCONPES (DNP). Corte a diciembre de 2025</w:t>
      </w:r>
    </w:p>
    <w:p w14:paraId="5DAFCB46" w14:textId="77777777" w:rsidR="00DE3C06" w:rsidRPr="000C5171" w:rsidRDefault="00DE3C06" w:rsidP="00DE3C06">
      <w:pPr>
        <w:spacing w:line="276" w:lineRule="auto"/>
        <w:jc w:val="both"/>
        <w:rPr>
          <w:rFonts w:cs="Tahoma"/>
          <w:sz w:val="22"/>
          <w:szCs w:val="22"/>
        </w:rPr>
      </w:pPr>
      <w:r w:rsidRPr="000C5171">
        <w:rPr>
          <w:sz w:val="22"/>
          <w:szCs w:val="22"/>
        </w:rPr>
        <w:t>En general son 16 acciones distribuidas en 8 documentos de política nacional. El estado general es de continuidad técnica, aunque existen puntos críticos de reporte administrativo ante el Departamento Nacional de Planeación (DNP).</w:t>
      </w:r>
      <w:r w:rsidRPr="000C5171">
        <w:rPr>
          <w:rFonts w:cs="Tahoma"/>
          <w:sz w:val="22"/>
          <w:szCs w:val="22"/>
        </w:rPr>
        <w:tab/>
      </w:r>
    </w:p>
    <w:p w14:paraId="3C161C6A" w14:textId="77777777" w:rsidR="00DE3C06" w:rsidRPr="000C5171" w:rsidRDefault="00DE3C06" w:rsidP="00DE3C06">
      <w:pPr>
        <w:spacing w:line="276" w:lineRule="auto"/>
        <w:jc w:val="both"/>
        <w:rPr>
          <w:rFonts w:cs="Tahoma"/>
          <w:sz w:val="22"/>
          <w:szCs w:val="22"/>
        </w:rPr>
      </w:pPr>
      <w:r w:rsidRPr="000C5171">
        <w:rPr>
          <w:rFonts w:cs="Tahoma"/>
          <w:sz w:val="22"/>
          <w:szCs w:val="22"/>
        </w:rPr>
        <w:t xml:space="preserve">Para ver el estado actual e información específica consulte el </w:t>
      </w:r>
      <w:r w:rsidRPr="000C5171">
        <w:rPr>
          <w:rFonts w:cs="Tahoma"/>
          <w:b/>
          <w:bCs/>
          <w:sz w:val="22"/>
          <w:szCs w:val="22"/>
        </w:rPr>
        <w:t>ANEXO 11</w:t>
      </w:r>
      <w:r w:rsidRPr="000C5171">
        <w:rPr>
          <w:rFonts w:cs="Tahoma"/>
          <w:sz w:val="22"/>
          <w:szCs w:val="22"/>
        </w:rPr>
        <w:t xml:space="preserve"> así mismo se puede consultar la información en la Fuente: SISCONPES </w:t>
      </w:r>
    </w:p>
    <w:p w14:paraId="374CDC22" w14:textId="77777777" w:rsidR="00DE3C06" w:rsidRPr="000C5171" w:rsidRDefault="00DE3C06" w:rsidP="00DE3C06">
      <w:pPr>
        <w:spacing w:line="276" w:lineRule="auto"/>
        <w:jc w:val="both"/>
        <w:rPr>
          <w:rFonts w:cs="Tahoma"/>
          <w:sz w:val="22"/>
          <w:szCs w:val="22"/>
        </w:rPr>
      </w:pPr>
    </w:p>
    <w:p w14:paraId="1AA5E516" w14:textId="77777777" w:rsidR="00DE3C06" w:rsidRPr="000C5171" w:rsidRDefault="00DE3C06" w:rsidP="00DE3C06">
      <w:pPr>
        <w:pStyle w:val="Ttulo1"/>
        <w:spacing w:line="276" w:lineRule="auto"/>
        <w:rPr>
          <w:rFonts w:cs="Tahoma"/>
        </w:rPr>
      </w:pPr>
      <w:bookmarkStart w:id="20" w:name="_Toc234168085"/>
      <w:r w:rsidRPr="000C5171">
        <w:rPr>
          <w:rFonts w:cs="Tahoma"/>
          <w:color w:val="0070C0"/>
        </w:rPr>
        <w:t>6.5 Proyectos de Interés Nacional y Estratégico - PINES- y los proyectos con Declaración de Importancia Estratégica -DIE-</w:t>
      </w:r>
      <w:bookmarkEnd w:id="20"/>
      <w:r w:rsidRPr="000C5171">
        <w:rPr>
          <w:rFonts w:cs="Tahoma"/>
          <w:color w:val="0070C0"/>
        </w:rPr>
        <w:tab/>
      </w:r>
      <w:r w:rsidRPr="000C5171">
        <w:rPr>
          <w:rFonts w:cs="Tahoma"/>
          <w:color w:val="0070C0"/>
        </w:rPr>
        <w:tab/>
      </w:r>
      <w:r w:rsidRPr="000C5171">
        <w:rPr>
          <w:rFonts w:cs="Tahoma"/>
          <w:color w:val="0070C0"/>
        </w:rPr>
        <w:tab/>
      </w:r>
      <w:r w:rsidRPr="000C5171">
        <w:rPr>
          <w:rFonts w:cs="Tahoma"/>
          <w:color w:val="0070C0"/>
        </w:rPr>
        <w:tab/>
      </w:r>
      <w:r w:rsidRPr="000C5171">
        <w:rPr>
          <w:rFonts w:cs="Tahoma"/>
        </w:rPr>
        <w:tab/>
      </w:r>
    </w:p>
    <w:p w14:paraId="69524393" w14:textId="77777777" w:rsidR="00DE3C06" w:rsidRPr="000C5171" w:rsidRDefault="00DE3C06" w:rsidP="00DE3C06">
      <w:pPr>
        <w:spacing w:line="276" w:lineRule="auto"/>
        <w:jc w:val="both"/>
        <w:rPr>
          <w:rFonts w:cs="Tahoma"/>
          <w:sz w:val="22"/>
          <w:szCs w:val="22"/>
        </w:rPr>
      </w:pPr>
      <w:r w:rsidRPr="000C5171">
        <w:rPr>
          <w:rFonts w:cs="Tahoma"/>
          <w:sz w:val="22"/>
          <w:szCs w:val="22"/>
        </w:rPr>
        <w:t>Este ítem no aplica a la ART-PDET.</w:t>
      </w:r>
    </w:p>
    <w:p w14:paraId="13F73C4A" w14:textId="77777777" w:rsidR="00DE3C06" w:rsidRPr="000C5171" w:rsidRDefault="00DE3C06" w:rsidP="00DE3C06">
      <w:pPr>
        <w:pStyle w:val="Ttulo1"/>
        <w:spacing w:line="276" w:lineRule="auto"/>
        <w:rPr>
          <w:rFonts w:cs="Tahoma"/>
          <w:color w:val="0070C0"/>
        </w:rPr>
      </w:pPr>
      <w:bookmarkStart w:id="21" w:name="_Toc234168086"/>
      <w:r w:rsidRPr="000C5171">
        <w:rPr>
          <w:rFonts w:cs="Tahoma"/>
          <w:color w:val="0070C0"/>
        </w:rPr>
        <w:lastRenderedPageBreak/>
        <w:t>6.6 Otras políticas de mediano y largo plazo</w:t>
      </w:r>
      <w:bookmarkEnd w:id="21"/>
      <w:r w:rsidRPr="000C5171">
        <w:rPr>
          <w:rFonts w:cs="Tahoma"/>
          <w:color w:val="0070C0"/>
        </w:rPr>
        <w:tab/>
        <w:t xml:space="preserve">                            </w:t>
      </w:r>
    </w:p>
    <w:p w14:paraId="0ED0AD37" w14:textId="77777777" w:rsidR="00DE3C06" w:rsidRPr="000C5171" w:rsidRDefault="00DE3C06" w:rsidP="00DE3C06">
      <w:pPr>
        <w:pStyle w:val="Ttulo1"/>
        <w:spacing w:line="276" w:lineRule="auto"/>
        <w:ind w:firstLine="708"/>
        <w:rPr>
          <w:rFonts w:cs="Tahoma"/>
        </w:rPr>
      </w:pPr>
    </w:p>
    <w:p w14:paraId="7691D1A5" w14:textId="77777777" w:rsidR="00DE3C06" w:rsidRPr="000C5171" w:rsidRDefault="00DE3C06" w:rsidP="00DE3C06">
      <w:pPr>
        <w:spacing w:line="276" w:lineRule="auto"/>
        <w:rPr>
          <w:rFonts w:cs="Tahoma"/>
          <w:color w:val="0070C0"/>
          <w:sz w:val="22"/>
          <w:szCs w:val="22"/>
        </w:rPr>
      </w:pPr>
      <w:r w:rsidRPr="000C5171">
        <w:rPr>
          <w:rFonts w:cs="Tahoma"/>
          <w:color w:val="0070C0"/>
          <w:sz w:val="22"/>
          <w:szCs w:val="22"/>
        </w:rPr>
        <w:t>6.6.1 Estado del proceso de revisión y actualización de los PATR. Decreto Ley 893 de 2017</w:t>
      </w:r>
    </w:p>
    <w:p w14:paraId="5324AFC2" w14:textId="77777777" w:rsidR="00DE3C06" w:rsidRPr="000C5171" w:rsidRDefault="00DE3C06" w:rsidP="00DE3C06">
      <w:pPr>
        <w:spacing w:line="276" w:lineRule="auto"/>
        <w:jc w:val="both"/>
        <w:rPr>
          <w:rFonts w:cs="Tahoma"/>
          <w:sz w:val="22"/>
          <w:szCs w:val="22"/>
        </w:rPr>
      </w:pPr>
      <w:r w:rsidRPr="000C5171">
        <w:rPr>
          <w:rFonts w:cs="Tahoma"/>
          <w:sz w:val="22"/>
          <w:szCs w:val="22"/>
        </w:rPr>
        <w:t>El proceso de revisión y actualización de los 16 Planes de Acción para la Transformación Regional (PATR), conforme al Decreto Ley 893 de 2017, se estructuró en una fase de alistamiento y tres momentos metodológicos: Punto de partida, La Re-Visión y Transformando Territorios, orientados a “Revisar y actualizar el contenido y la ruta de implementación de los PATR para cumplir con la finalidad, los objetivos y enfoques establecidos en los PDET, mediante un esfuerzo articulado de los diferentes niveles del gobierno, la comunidad, el Sector Privado, la academia y el apoyo de la cooperación internacional”</w:t>
      </w:r>
      <w:r w:rsidRPr="000C5171">
        <w:rPr>
          <w:rStyle w:val="Refdenotaalpie"/>
          <w:rFonts w:cs="Tahoma"/>
          <w:sz w:val="22"/>
          <w:szCs w:val="22"/>
        </w:rPr>
        <w:footnoteReference w:id="37"/>
      </w:r>
      <w:r w:rsidRPr="000C5171">
        <w:rPr>
          <w:rFonts w:cs="Tahoma"/>
          <w:sz w:val="22"/>
          <w:szCs w:val="22"/>
        </w:rPr>
        <w:t xml:space="preserve">. </w:t>
      </w:r>
    </w:p>
    <w:p w14:paraId="41779964" w14:textId="77777777" w:rsidR="00DE3C06" w:rsidRPr="000C5171" w:rsidRDefault="00DE3C06" w:rsidP="00DE3C06">
      <w:pPr>
        <w:spacing w:after="0" w:line="276" w:lineRule="auto"/>
        <w:ind w:left="284"/>
        <w:jc w:val="both"/>
        <w:rPr>
          <w:rFonts w:cs="Tahoma"/>
          <w:sz w:val="22"/>
          <w:szCs w:val="22"/>
        </w:rPr>
      </w:pPr>
    </w:p>
    <w:p w14:paraId="24446B18" w14:textId="77777777" w:rsidR="00DE3C06" w:rsidRPr="000C5171" w:rsidRDefault="00DE3C06" w:rsidP="00DE3C06">
      <w:pPr>
        <w:spacing w:line="276" w:lineRule="auto"/>
        <w:jc w:val="both"/>
        <w:rPr>
          <w:rFonts w:cs="Tahoma"/>
          <w:sz w:val="22"/>
          <w:szCs w:val="22"/>
        </w:rPr>
      </w:pPr>
      <w:r w:rsidRPr="000C5171">
        <w:rPr>
          <w:rFonts w:cs="Tahoma"/>
          <w:sz w:val="22"/>
          <w:szCs w:val="22"/>
        </w:rPr>
        <w:t xml:space="preserve">La fase de alistamiento permitió estructurar conjuntamente, validar y socializar la metodología, para lo cual se inició con la identificación de expectativas del proceso y fortalecimiento de instancias de participación PDET en los siguientes espacios: Encuentro Nacional PDET realizado en Bogotá el 30 de noviembre y 1 de diciembre de 2022, con 280 delegados comunitarios. Entre enero y abril de 2023 se efectuaron 16 encuentros subregionales PDET con 2.233 líderes y lideresas; durante 2023 se adelantaron 16 sesiones de los Mecanismos Especiales de Consulta (MEC); y entre junio y diciembre de 2023 se realizaron 170 encuentros municipales para la Transformación Territorial, con participación de 4.294 líderes y lideresas, en los cuales se conformaron Mesas Comunitarias municipales con grupos motores, cabildos indígenas, consejos comunitarios, Juntas de Acción Comunal, organizaciones campesinas, de mujeres, población LGBTIQ+, víctimas, firmantes del Acuerdo y jóvenes; como espacio de participación PDET esencial para la revisión y actualización de los PATR. De manera complementaria, entre el segundo semestre de 2023 y comienzos de 2024 se desarrolló la concertación metodológica (institucional y comunitaria) por medio de: encuentros de secretarías técnicas de los MEC en octubre de 2023 y enero de 2024; mesa intersectorial con entidades responsables de Planes Nacionales Sectoriales en noviembre de 2023; Encuentro de Mandatarios Locales en Cali en diciembre de 2023; Primer Encuentro </w:t>
      </w:r>
      <w:r w:rsidRPr="000C5171">
        <w:rPr>
          <w:rFonts w:cs="Tahoma"/>
          <w:sz w:val="22"/>
          <w:szCs w:val="22"/>
        </w:rPr>
        <w:lastRenderedPageBreak/>
        <w:t>Nacional de Mujeres Rurales, Género y Diversidades "Tulia Carrillo Lizarazo" en enero de 2024; 16 encuentros de secretarías técnicas de las Mesas Comunitarias Municipales y 16 mesas técnicas con nuevos gobiernos locales entre enero y febrero de 2024. Además, se realizaron 12 espacios de socialización con cerca de 50 entidades nacionales, centros de pensamiento, organismos de seguimiento al Acuerdo, cooperación internacional, entes de control, circunscripciones transitorias de paz y sector privado. En julio de 2024 se acordó asegurar espacios propios étnicos y círculos de género en cada momento metodológico.</w:t>
      </w:r>
    </w:p>
    <w:p w14:paraId="6FCD426B" w14:textId="77777777" w:rsidR="00DE3C06" w:rsidRPr="000C5171" w:rsidRDefault="00DE3C06" w:rsidP="00DE3C06">
      <w:pPr>
        <w:spacing w:after="0" w:line="276" w:lineRule="auto"/>
        <w:ind w:left="284"/>
        <w:jc w:val="both"/>
        <w:rPr>
          <w:rFonts w:cs="Tahoma"/>
          <w:sz w:val="22"/>
          <w:szCs w:val="22"/>
        </w:rPr>
      </w:pPr>
    </w:p>
    <w:p w14:paraId="307A06BF" w14:textId="77777777" w:rsidR="00DE3C06" w:rsidRPr="000C5171" w:rsidRDefault="00DE3C06" w:rsidP="00DE3C06">
      <w:pPr>
        <w:spacing w:line="276" w:lineRule="auto"/>
        <w:jc w:val="both"/>
        <w:rPr>
          <w:rFonts w:cs="Tahoma"/>
          <w:sz w:val="22"/>
          <w:szCs w:val="22"/>
        </w:rPr>
      </w:pPr>
      <w:r w:rsidRPr="000C5171">
        <w:rPr>
          <w:rFonts w:cs="Tahoma"/>
          <w:sz w:val="22"/>
          <w:szCs w:val="22"/>
        </w:rPr>
        <w:t>El Momento 1, Punto de partida, se cumplió entre marzo y noviembre de 2024, con una fase municipal en los 170 municipios PDET y una fase subregional en las 16 subregiones. Los productos resultantes del primer momento fueron: un balance de percepción sobre el avance en el cumplimiento de los seis objetivos PDET establecidos en el Acuerdo Final, la actualización de los diagnósticos participativos gracias identificación de problemáticas y potencialidades en torno a los criterios de focalización PDET y los pilares en los que se agrupaban las iniciativas PATR, la actualización de las visiones territoriales a 2033 (y construcción de visiones subregionales étnicas) y la cualificación – revisión de etiquetas y activación de iniciativas – de las 33.007 iniciativas PATR, dichos resultados se registraron en 186 documentos -170 municipales y 16 subregionales. Además, este trabajo permitió incidir en la incorporación en los planes de desarrollo territoriales 2024 – 2027, de manera explícita, de 6.391 iniciativas de los PATR.</w:t>
      </w:r>
    </w:p>
    <w:p w14:paraId="54619B3C" w14:textId="77777777" w:rsidR="00DE3C06" w:rsidRPr="000C5171" w:rsidRDefault="00DE3C06" w:rsidP="00DE3C06">
      <w:pPr>
        <w:spacing w:line="276" w:lineRule="auto"/>
        <w:jc w:val="both"/>
        <w:rPr>
          <w:rFonts w:cs="Tahoma"/>
          <w:sz w:val="22"/>
          <w:szCs w:val="22"/>
        </w:rPr>
      </w:pPr>
      <w:r w:rsidRPr="000C5171">
        <w:rPr>
          <w:rFonts w:cs="Tahoma"/>
          <w:sz w:val="22"/>
          <w:szCs w:val="22"/>
        </w:rPr>
        <w:t xml:space="preserve">El Momento 2, La Re-Visión, que también se encuentra cumplido, incluyó como preparación técnica la construcción de una propuesta de capítulos de programas y proyectos armonizados (coincidencia de fines) y articulados (concurrencia de fuentes) con instrumentos de planeación sectorial, territorial y propios de pueblos étnicos. Dicha construcción de las propuestas se realizó en espacios bilaterales ART – MEC, ART – </w:t>
      </w:r>
      <w:proofErr w:type="gramStart"/>
      <w:r w:rsidRPr="000C5171">
        <w:rPr>
          <w:rFonts w:cs="Tahoma"/>
          <w:sz w:val="22"/>
          <w:szCs w:val="22"/>
        </w:rPr>
        <w:t>Secretarias</w:t>
      </w:r>
      <w:proofErr w:type="gramEnd"/>
      <w:r w:rsidRPr="000C5171">
        <w:rPr>
          <w:rFonts w:cs="Tahoma"/>
          <w:sz w:val="22"/>
          <w:szCs w:val="22"/>
        </w:rPr>
        <w:t xml:space="preserve"> técnicas de mesas comunitarias municipales, ART – Alcaldías y gobernaciones y ART – Sectores del orden nacional entre noviembre de 2024 y junio de 2025. En dicha construcción de la propuesta participaron comunidades, entidades territoriales, MEC, entidades nacionales de los 24 sectores administrativos de la Rama Ejecutiva, el DNP y la ART, mediante tres reuniones sectoriales y más de 40 mesas técnicas sectoriales, así como múltiples mesas técnicas con las alcaldías de los 170 municipios PDET, las gobernaciones en las que se encuentran estos municipios y las instancias de participación PDET. Dicha construcción de la propuesta fue llevada para su revisión y </w:t>
      </w:r>
      <w:proofErr w:type="spellStart"/>
      <w:r w:rsidRPr="000C5171">
        <w:rPr>
          <w:rFonts w:cs="Tahoma"/>
          <w:sz w:val="22"/>
          <w:szCs w:val="22"/>
        </w:rPr>
        <w:t>co</w:t>
      </w:r>
      <w:proofErr w:type="spellEnd"/>
      <w:r w:rsidRPr="000C5171">
        <w:rPr>
          <w:rFonts w:cs="Tahoma"/>
          <w:sz w:val="22"/>
          <w:szCs w:val="22"/>
        </w:rPr>
        <w:t xml:space="preserve"> – construcción final en 16 espacios subregionales que se realizaron entre junio de 2025 y enero de 2026. El resultado central fue la </w:t>
      </w:r>
      <w:proofErr w:type="spellStart"/>
      <w:r w:rsidRPr="000C5171">
        <w:rPr>
          <w:rFonts w:cs="Tahoma"/>
          <w:sz w:val="22"/>
          <w:szCs w:val="22"/>
        </w:rPr>
        <w:t>co-construcción</w:t>
      </w:r>
      <w:proofErr w:type="spellEnd"/>
      <w:r w:rsidRPr="000C5171">
        <w:rPr>
          <w:rFonts w:cs="Tahoma"/>
          <w:sz w:val="22"/>
          <w:szCs w:val="22"/>
        </w:rPr>
        <w:t xml:space="preserve"> de los capítulos de programas y proyectos, con una estructura que conecta los seis objetivos PDET con líneas estratégicas, programas y subprogramas. En promedio, los capítulos interculturales consolidan 18 programas y más de 50 subprogramas por subregión, y los capítulos étnicos 14 programas y más de 55 subprogramas, con particularidades como </w:t>
      </w:r>
      <w:r w:rsidRPr="000C5171">
        <w:rPr>
          <w:rFonts w:cs="Tahoma"/>
          <w:sz w:val="22"/>
          <w:szCs w:val="22"/>
        </w:rPr>
        <w:lastRenderedPageBreak/>
        <w:t xml:space="preserve">Pacífico Medio y Chocó, que solo cuentan con capítulo étnico, y Sur de Bolívar que solo tiene capítulo intercultural con unos subprogramas étnicos. Adicionalmente, para cada uno de estos capítulos se identificó el conjunto de proyectos e ideas de proyectos que según el mapeo actual institucional – comunitario, pueden contribuir a la obtención de los resultados esperados establecidos en cada capítulo. </w:t>
      </w:r>
    </w:p>
    <w:p w14:paraId="3F8D426F" w14:textId="77777777" w:rsidR="00DE3C06" w:rsidRPr="000C5171" w:rsidRDefault="00DE3C06" w:rsidP="00DE3C06">
      <w:pPr>
        <w:spacing w:line="276" w:lineRule="auto"/>
        <w:jc w:val="both"/>
        <w:rPr>
          <w:rFonts w:cs="Tahoma"/>
          <w:sz w:val="22"/>
          <w:szCs w:val="22"/>
        </w:rPr>
      </w:pPr>
      <w:r w:rsidRPr="000C5171">
        <w:rPr>
          <w:rFonts w:cs="Tahoma"/>
          <w:sz w:val="22"/>
          <w:szCs w:val="22"/>
        </w:rPr>
        <w:t>El Momento 3 - Transformando Territorios: los espacios participativos ya finalizaron en junio de 2026 y tenían por objeto protocolizar los PATR revisados y actualizados como instrumentos de planificación para la incidencia, incorporando los capítulos de programas y proyectos, su proyección de fuentes de financiación, estimación de costos, indicadores, metas, esquema de seguimiento, control social, evaluación y rendición de cuentas, conforme al artículo 4 del Decreto Ley 893 de 2017, además de la ruta de implementación asociada.</w:t>
      </w:r>
    </w:p>
    <w:p w14:paraId="293A7CE9" w14:textId="77777777" w:rsidR="00DE3C06" w:rsidRPr="000C5171" w:rsidRDefault="00DE3C06" w:rsidP="00DE3C06">
      <w:pPr>
        <w:spacing w:line="276" w:lineRule="auto"/>
        <w:jc w:val="both"/>
        <w:rPr>
          <w:rFonts w:cs="Tahoma"/>
          <w:sz w:val="22"/>
          <w:szCs w:val="22"/>
        </w:rPr>
      </w:pPr>
      <w:r w:rsidRPr="000C5171">
        <w:rPr>
          <w:rFonts w:eastAsia="Helvetica" w:cs="Tahoma"/>
          <w:sz w:val="22"/>
          <w:szCs w:val="22"/>
          <w:lang w:val="es"/>
        </w:rPr>
        <w:t xml:space="preserve">Finalmente para la implementación del PATR revisado y actualizado se diseñó la Ruta de Implementación, la cual tiene como objetivo la gestión e implementación del </w:t>
      </w:r>
      <w:r w:rsidRPr="000C5171">
        <w:rPr>
          <w:rFonts w:eastAsia="Helvetica" w:cs="Tahoma"/>
          <w:sz w:val="22"/>
          <w:szCs w:val="22"/>
        </w:rPr>
        <w:t>Capítulo de Programas y Proyectos</w:t>
      </w:r>
      <w:r w:rsidRPr="000C5171">
        <w:rPr>
          <w:rFonts w:eastAsia="Helvetica" w:cs="Tahoma"/>
          <w:sz w:val="22"/>
          <w:szCs w:val="22"/>
          <w:lang w:val="es"/>
        </w:rPr>
        <w:t xml:space="preserve"> (</w:t>
      </w:r>
      <w:proofErr w:type="spellStart"/>
      <w:r w:rsidRPr="000C5171">
        <w:rPr>
          <w:rFonts w:eastAsia="Helvetica" w:cs="Tahoma"/>
          <w:sz w:val="22"/>
          <w:szCs w:val="22"/>
          <w:lang w:val="es"/>
        </w:rPr>
        <w:t>CPyP</w:t>
      </w:r>
      <w:proofErr w:type="spellEnd"/>
      <w:r w:rsidRPr="000C5171">
        <w:rPr>
          <w:rFonts w:eastAsia="Helvetica" w:cs="Tahoma"/>
          <w:sz w:val="22"/>
          <w:szCs w:val="22"/>
          <w:lang w:val="es"/>
        </w:rPr>
        <w:t>) para el desarrollo de la visión estratégica y participativa de las comunidades y las entidades, orientada  a la transformación de los territorios PDET mediante la articulación interinstitucional, sectorial, multinivel y comunitaria, la asignación eficiente de recursos y un sistema de seguimiento con enfoque diferencial y territorial, para cumplir los objetivos del PDET con resultados sostenibles en el tiempo.</w:t>
      </w:r>
    </w:p>
    <w:p w14:paraId="43D6AF4A" w14:textId="77777777" w:rsidR="00DE3C06" w:rsidRPr="000C5171" w:rsidRDefault="00DE3C06" w:rsidP="00DE3C06">
      <w:pPr>
        <w:spacing w:after="80" w:line="276" w:lineRule="auto"/>
        <w:jc w:val="both"/>
        <w:rPr>
          <w:rFonts w:eastAsia="Helvetica" w:cs="Tahoma"/>
          <w:sz w:val="22"/>
          <w:szCs w:val="22"/>
        </w:rPr>
      </w:pPr>
      <w:r w:rsidRPr="000C5171">
        <w:rPr>
          <w:rFonts w:eastAsia="Helvetica" w:cs="Tahoma"/>
          <w:sz w:val="22"/>
          <w:szCs w:val="22"/>
        </w:rPr>
        <w:t xml:space="preserve">La </w:t>
      </w:r>
      <w:r w:rsidRPr="000C5171">
        <w:rPr>
          <w:rFonts w:eastAsia="Helvetica" w:cs="Tahoma"/>
          <w:sz w:val="22"/>
          <w:szCs w:val="22"/>
          <w:lang w:val="es"/>
        </w:rPr>
        <w:t>Ruta de Implementación</w:t>
      </w:r>
      <w:r w:rsidRPr="000C5171">
        <w:rPr>
          <w:rFonts w:eastAsia="Helvetica" w:cs="Tahoma"/>
          <w:sz w:val="22"/>
          <w:szCs w:val="22"/>
        </w:rPr>
        <w:t xml:space="preserve"> establece las orientaciones para  la gestión, financiación, ajustes normativos e institucionales y mecanismos de seguimiento y control social de los PATR, fundamentadas en un modelo de gobernanza popular que garantice la incidencia vinculante de las comunidades, la alineación con las metas de los Planes Nacionales Sectoriales de la Reforma Rural Integral, de los Planes de Desarrollo, en sus diferentes niveles, los Planes De Retorno y Reubicación, los Planes de Vida y Salvaguarda, los Planes de Desarrollo de las Zonas  de Reserva Campesina y la implementación de proyectos de inversión con criterios de justicia social y convergencia regional para la transformación efectiva de los territorios PDET, entre otros.</w:t>
      </w:r>
    </w:p>
    <w:p w14:paraId="1E0F9003" w14:textId="77777777" w:rsidR="00DE3C06" w:rsidRPr="000C5171" w:rsidRDefault="00DE3C06" w:rsidP="00DE3C06">
      <w:pPr>
        <w:spacing w:after="80" w:line="276" w:lineRule="auto"/>
        <w:jc w:val="both"/>
        <w:rPr>
          <w:rFonts w:eastAsia="Helvetica" w:cs="Tahoma"/>
          <w:sz w:val="22"/>
          <w:szCs w:val="22"/>
        </w:rPr>
      </w:pPr>
      <w:r w:rsidRPr="000C5171">
        <w:rPr>
          <w:rFonts w:eastAsia="Helvetica" w:cs="Tahoma"/>
          <w:sz w:val="22"/>
          <w:szCs w:val="22"/>
        </w:rPr>
        <w:t xml:space="preserve">La Ruta de Implementación se estructura en cinco componentes complementarios que, en conjunto, habilitan la ejecución efectiva de los PATR revisados y actualizados y en particular del </w:t>
      </w:r>
      <w:proofErr w:type="spellStart"/>
      <w:r w:rsidRPr="000C5171">
        <w:rPr>
          <w:rFonts w:eastAsia="Helvetica" w:cs="Tahoma"/>
          <w:sz w:val="22"/>
          <w:szCs w:val="22"/>
        </w:rPr>
        <w:t>CPyP</w:t>
      </w:r>
      <w:proofErr w:type="spellEnd"/>
      <w:r w:rsidRPr="000C5171">
        <w:rPr>
          <w:rFonts w:eastAsia="Helvetica" w:cs="Tahoma"/>
          <w:sz w:val="22"/>
          <w:szCs w:val="22"/>
        </w:rPr>
        <w:t>:  (i)una ruta de incidencia para incorporar y articular los programas y proyectos en los instrumentos estratégicos de planeación y en las fuentes de financiación del Estado colombiano en los niveles nacional, regional, departamental y municipal;  (</w:t>
      </w:r>
      <w:proofErr w:type="spellStart"/>
      <w:r w:rsidRPr="000C5171">
        <w:rPr>
          <w:rFonts w:eastAsia="Helvetica" w:cs="Tahoma"/>
          <w:sz w:val="22"/>
          <w:szCs w:val="22"/>
        </w:rPr>
        <w:t>ii</w:t>
      </w:r>
      <w:proofErr w:type="spellEnd"/>
      <w:r w:rsidRPr="000C5171">
        <w:rPr>
          <w:rFonts w:eastAsia="Helvetica" w:cs="Tahoma"/>
          <w:sz w:val="22"/>
          <w:szCs w:val="22"/>
        </w:rPr>
        <w:t>), el fortalecimiento de capacidades de los actores territoriales e institucionales para planear, coordinar, gestionar, hacer seguimiento y rendir cuentas sobre la implementación; (</w:t>
      </w:r>
      <w:proofErr w:type="spellStart"/>
      <w:r w:rsidRPr="000C5171">
        <w:rPr>
          <w:rFonts w:eastAsia="Helvetica" w:cs="Tahoma"/>
          <w:sz w:val="22"/>
          <w:szCs w:val="22"/>
        </w:rPr>
        <w:t>iii</w:t>
      </w:r>
      <w:proofErr w:type="spellEnd"/>
      <w:r w:rsidRPr="000C5171">
        <w:rPr>
          <w:rFonts w:eastAsia="Helvetica" w:cs="Tahoma"/>
          <w:sz w:val="22"/>
          <w:szCs w:val="22"/>
        </w:rPr>
        <w:t>), los ajustes normativos necesarios para remover barreras, clarificar competencias y mejorar condiciones de concurrencia y ejecución; (</w:t>
      </w:r>
      <w:proofErr w:type="spellStart"/>
      <w:r w:rsidRPr="000C5171">
        <w:rPr>
          <w:rFonts w:eastAsia="Helvetica" w:cs="Tahoma"/>
          <w:sz w:val="22"/>
          <w:szCs w:val="22"/>
        </w:rPr>
        <w:t>iv</w:t>
      </w:r>
      <w:proofErr w:type="spellEnd"/>
      <w:r w:rsidRPr="000C5171">
        <w:rPr>
          <w:rFonts w:eastAsia="Helvetica" w:cs="Tahoma"/>
          <w:sz w:val="22"/>
          <w:szCs w:val="22"/>
        </w:rPr>
        <w:t xml:space="preserve">) el rediseño de la arquitectura institucional para optimizar coordinación interinstitucional, operación sectorial y trazabilidad de responsabilidades; y  (v), una estrategia de pedagogía y comunicación que asegure </w:t>
      </w:r>
      <w:r w:rsidRPr="000C5171">
        <w:rPr>
          <w:rFonts w:eastAsia="Helvetica" w:cs="Tahoma"/>
          <w:sz w:val="22"/>
          <w:szCs w:val="22"/>
        </w:rPr>
        <w:lastRenderedPageBreak/>
        <w:t xml:space="preserve">apropiación, articulación y control social, reduciendo asimetrías de información y promoviendo prácticas comunes para implementar y monitorear los programas y proyectos. </w:t>
      </w:r>
    </w:p>
    <w:p w14:paraId="56148CAB" w14:textId="77777777" w:rsidR="00DE3C06" w:rsidRPr="000C5171" w:rsidRDefault="00DE3C06" w:rsidP="00DE3C06">
      <w:pPr>
        <w:spacing w:after="80" w:line="276" w:lineRule="auto"/>
        <w:jc w:val="both"/>
        <w:rPr>
          <w:rFonts w:eastAsia="Helvetica" w:cs="Tahoma"/>
          <w:sz w:val="22"/>
          <w:szCs w:val="22"/>
        </w:rPr>
      </w:pPr>
    </w:p>
    <w:p w14:paraId="6D656432" w14:textId="77777777" w:rsidR="00DE3C06" w:rsidRPr="000C5171" w:rsidRDefault="00DE3C06" w:rsidP="00DE3C06">
      <w:pPr>
        <w:spacing w:line="276" w:lineRule="auto"/>
        <w:jc w:val="both"/>
        <w:rPr>
          <w:rFonts w:cs="Tahoma"/>
          <w:color w:val="0070C0"/>
          <w:sz w:val="22"/>
          <w:szCs w:val="22"/>
        </w:rPr>
      </w:pPr>
      <w:r w:rsidRPr="000C5171">
        <w:rPr>
          <w:rFonts w:cs="Tahoma"/>
          <w:color w:val="0070C0"/>
          <w:sz w:val="22"/>
          <w:szCs w:val="22"/>
        </w:rPr>
        <w:t>6.6.2 Pactos Territoriales</w:t>
      </w:r>
    </w:p>
    <w:p w14:paraId="65C1B777" w14:textId="77777777" w:rsidR="00DE3C06" w:rsidRPr="000C5171" w:rsidRDefault="00DE3C06" w:rsidP="00DE3C06">
      <w:pPr>
        <w:spacing w:line="276" w:lineRule="auto"/>
        <w:jc w:val="both"/>
        <w:rPr>
          <w:rFonts w:cs="Tahoma"/>
          <w:b/>
          <w:bCs/>
          <w:sz w:val="22"/>
          <w:szCs w:val="22"/>
        </w:rPr>
      </w:pPr>
      <w:r w:rsidRPr="000C5171">
        <w:rPr>
          <w:rFonts w:cs="Tahoma"/>
          <w:sz w:val="22"/>
          <w:szCs w:val="22"/>
        </w:rPr>
        <w:t xml:space="preserve">A continuación, se suministra información respecto a la gestión ART PDET respecto de los </w:t>
      </w:r>
      <w:r w:rsidRPr="000C5171">
        <w:rPr>
          <w:rFonts w:cs="Tahoma"/>
          <w:b/>
          <w:bCs/>
          <w:sz w:val="22"/>
          <w:szCs w:val="22"/>
        </w:rPr>
        <w:t>Pactos territoriales:</w:t>
      </w:r>
    </w:p>
    <w:p w14:paraId="53A8403F" w14:textId="77777777" w:rsidR="00DE3C06" w:rsidRPr="000C5171" w:rsidRDefault="00DE3C06" w:rsidP="00DE3C06">
      <w:pPr>
        <w:spacing w:line="276" w:lineRule="auto"/>
        <w:jc w:val="both"/>
        <w:rPr>
          <w:rFonts w:cs="Tahoma"/>
          <w:sz w:val="22"/>
          <w:szCs w:val="22"/>
        </w:rPr>
      </w:pPr>
      <w:r w:rsidRPr="000C5171">
        <w:rPr>
          <w:rFonts w:cs="Tahoma"/>
          <w:sz w:val="22"/>
          <w:szCs w:val="22"/>
        </w:rPr>
        <w:t xml:space="preserve">Con base en el artículo 279 del Plan Nacional de Desarrollo y en los lineamientos del CONPES 3867 de 2017, y el CONPES 3932 de 2017 los Pactos Territoriales antes los Contratos Paz o Contratos Plan se consolidan como instrumentos de articulación para concertar inversiones estratégicas de alto impacto en territorios afectados por el conflicto. En clave PDET, permiten coordinar acciones entre la Nación, entidades territoriales, sector privado, cooperación internacional y comunidades, promoviendo la concurrencia de fuentes como PGN, SGR, recursos territoriales, empresas estatales, cooperación y sector privado. Bajo la coordinación del DNP, la ART ha contribuido activamente a la construcción del Pacto Catatumbo, Cauca, Nariño y Chocó a partir del diálogo social e institucional, con el propósito de impulsar el desarrollo del PATR, cerrar brechas y avanzar en la consolidación de la Paz Total. </w:t>
      </w:r>
    </w:p>
    <w:p w14:paraId="78B59FED" w14:textId="77777777" w:rsidR="00DE3C06" w:rsidRPr="000C5171" w:rsidRDefault="00DE3C06" w:rsidP="00DE3C06">
      <w:pPr>
        <w:spacing w:line="276" w:lineRule="auto"/>
        <w:jc w:val="both"/>
        <w:rPr>
          <w:rFonts w:cs="Tahoma"/>
          <w:sz w:val="22"/>
          <w:szCs w:val="22"/>
        </w:rPr>
      </w:pPr>
      <w:r w:rsidRPr="000C5171">
        <w:rPr>
          <w:rFonts w:cs="Tahoma"/>
          <w:sz w:val="22"/>
          <w:szCs w:val="22"/>
        </w:rPr>
        <w:t>Estos instrumentos de política pública constituyen una apuesta estratégica de la ART para avanzar en la implementación integral del Acuerdo de Paz y materializar compromisos con las comunidades, por esta razón la ART lideró espacios de diálogo con las comunidades PDET y los MEC en estas subregiones. También aportó a la construcción de los documentos técnicos de diagnóstico, objetivos, líneas estratégicas, árboles de problemas y árboles de soluciones, especialmente en Catatumbo (que cuenta con un capítulo exclusivo para el pueblo Barí con proyectos articulados a su Plan de Vida, planes de reparación colectiva, iniciativas PDET y el Plan de Desarrollo Alternativo ordenado por la Sentencia T-052 de 2017) y Nariño. ART puso a disposición la base de proyectos de la entidad y actualmente financia algunos proyectos en ejecución. Cuenta, además, con iniciativas de visión regional para estructuración y búsqueda de fuentes de financiación. En este marco, los proyectos incluidos en los Pactos Territoriales se incorporan en el capítulo de programas y proyectos de los PATR revisados y actualizados, como mecanismo estratégico para articular esfuerzos institucionales y promover la concurrencia de fuentes de financiación para la transformación territorial.</w:t>
      </w:r>
    </w:p>
    <w:p w14:paraId="6AC54EA4" w14:textId="77777777" w:rsidR="00DE3C06" w:rsidRPr="000C5171" w:rsidRDefault="00DE3C06" w:rsidP="00DE3C06">
      <w:pPr>
        <w:spacing w:line="276" w:lineRule="auto"/>
        <w:jc w:val="both"/>
        <w:rPr>
          <w:rFonts w:cs="Tahoma"/>
          <w:sz w:val="22"/>
          <w:szCs w:val="22"/>
        </w:rPr>
      </w:pPr>
      <w:r w:rsidRPr="000C5171">
        <w:rPr>
          <w:rFonts w:cs="Tahoma"/>
          <w:sz w:val="22"/>
          <w:szCs w:val="22"/>
        </w:rPr>
        <w:t xml:space="preserve">La ART participa actualmente en la fase de implementación y seguimiento de los Pactos Territoriales de Catatumbo, Cauca y Nariño, conforme a lo establecido en las respectivas minutas y reglamentos internos. Esta participación se desarrolla a través de tres líneas de acción: i) como integrante de los comités técnicos de los Pactos Territoriales e integrante del Consejo Directivo del Pacto Territorial por la Transformación del Catatumbo en su Comité Directivo; </w:t>
      </w:r>
      <w:proofErr w:type="spellStart"/>
      <w:r w:rsidRPr="000C5171">
        <w:rPr>
          <w:rFonts w:cs="Tahoma"/>
          <w:sz w:val="22"/>
          <w:szCs w:val="22"/>
        </w:rPr>
        <w:t>ii</w:t>
      </w:r>
      <w:proofErr w:type="spellEnd"/>
      <w:r w:rsidRPr="000C5171">
        <w:rPr>
          <w:rFonts w:cs="Tahoma"/>
          <w:sz w:val="22"/>
          <w:szCs w:val="22"/>
        </w:rPr>
        <w:t xml:space="preserve">) mediante la implementación de los proyectos a su cargo en estos territorios, con el respectivo reporte DNP, de acuerdo con sus requerimientos de información; y </w:t>
      </w:r>
      <w:proofErr w:type="spellStart"/>
      <w:r w:rsidRPr="000C5171">
        <w:rPr>
          <w:rFonts w:cs="Tahoma"/>
          <w:sz w:val="22"/>
          <w:szCs w:val="22"/>
        </w:rPr>
        <w:t>iii</w:t>
      </w:r>
      <w:proofErr w:type="spellEnd"/>
      <w:r w:rsidRPr="000C5171">
        <w:rPr>
          <w:rFonts w:cs="Tahoma"/>
          <w:sz w:val="22"/>
          <w:szCs w:val="22"/>
        </w:rPr>
        <w:t xml:space="preserve">) a través de </w:t>
      </w:r>
      <w:r w:rsidRPr="000C5171">
        <w:rPr>
          <w:rFonts w:cs="Tahoma"/>
          <w:sz w:val="22"/>
          <w:szCs w:val="22"/>
        </w:rPr>
        <w:lastRenderedPageBreak/>
        <w:t>la gestión de recursos y la articulación institucional para la cofinanciación de iniciativas estratégicas asociadas al instrumento.</w:t>
      </w:r>
    </w:p>
    <w:p w14:paraId="2E66DA0C" w14:textId="77777777" w:rsidR="00DE3C06" w:rsidRPr="000C5171" w:rsidRDefault="00DE3C06" w:rsidP="00DE3C06">
      <w:pPr>
        <w:spacing w:line="276" w:lineRule="auto"/>
        <w:jc w:val="both"/>
        <w:rPr>
          <w:rFonts w:cs="Tahoma"/>
          <w:sz w:val="22"/>
          <w:szCs w:val="22"/>
        </w:rPr>
      </w:pPr>
      <w:r w:rsidRPr="000C5171">
        <w:rPr>
          <w:rFonts w:cs="Tahoma"/>
          <w:sz w:val="22"/>
          <w:szCs w:val="22"/>
        </w:rPr>
        <w:t>Se recomienda fortalecer la fase de implementación y seguimiento de los Pactos Territoriales, garantizando la concurrencia efectiva de fuentes de financiación del nivel nacional y territorial, especialmente recursos del Sistema General de Regalías y OCAD Paz, con el fin de avanzar en los cierres financieros de las iniciativas priorizadas. Además, impulsar la financiación de los proyectos que se encuentran en fase 3, así como culminar la formulación de las ideas de proyecto o proyectos que se encuentran en fase 2, para facilitar su estructuración, viabilizarían y posterior gestión de recursos. Se considera necesario evaluar la declaratoria de proyectos o programas clave mediante documentos CONPES de importancia estratégica, cuando corresponda, y avanzar en una normatividad vinculante que permita articular las fuentes de financiación públicas, territoriales, nacionales, de cooperación y privadas a los compromisos establecidos en los pactos.</w:t>
      </w:r>
    </w:p>
    <w:p w14:paraId="3AC7CA90" w14:textId="77777777" w:rsidR="00DE3C06" w:rsidRPr="000C5171" w:rsidRDefault="00DE3C06" w:rsidP="00DE3C06">
      <w:pPr>
        <w:spacing w:line="276" w:lineRule="auto"/>
        <w:jc w:val="both"/>
        <w:rPr>
          <w:rFonts w:cs="Tahoma"/>
          <w:sz w:val="22"/>
          <w:szCs w:val="22"/>
        </w:rPr>
      </w:pPr>
      <w:r w:rsidRPr="000C5171">
        <w:rPr>
          <w:rFonts w:cs="Tahoma"/>
          <w:sz w:val="22"/>
          <w:szCs w:val="22"/>
        </w:rPr>
        <w:t xml:space="preserve">A continuación, se indica el enlace de consulta oficial para el avance de los pactos, el cual se encuentra en la página web administrada por el DNP: </w:t>
      </w:r>
    </w:p>
    <w:p w14:paraId="1DB2C5BD" w14:textId="77777777" w:rsidR="00DE3C06" w:rsidRPr="000C5171" w:rsidRDefault="00000000" w:rsidP="00DE3C06">
      <w:pPr>
        <w:spacing w:line="276" w:lineRule="auto"/>
        <w:jc w:val="both"/>
        <w:rPr>
          <w:rFonts w:cs="Tahoma"/>
          <w:sz w:val="22"/>
          <w:szCs w:val="22"/>
        </w:rPr>
      </w:pPr>
      <w:hyperlink r:id="rId20" w:history="1">
        <w:r w:rsidR="00DE3C06" w:rsidRPr="000C5171">
          <w:rPr>
            <w:rStyle w:val="Hipervnculo"/>
            <w:rFonts w:cs="Tahoma"/>
            <w:sz w:val="22"/>
            <w:szCs w:val="22"/>
          </w:rPr>
          <w:t>https://pactosterritoriales.dnp.gov.co/Sispactos/Paginas/default.aspx</w:t>
        </w:r>
      </w:hyperlink>
    </w:p>
    <w:p w14:paraId="6E58ABD0" w14:textId="77777777" w:rsidR="00DE3C06" w:rsidRDefault="00DE3C06" w:rsidP="00DE3C06">
      <w:pPr>
        <w:spacing w:line="276" w:lineRule="auto"/>
        <w:ind w:left="284"/>
        <w:jc w:val="both"/>
        <w:rPr>
          <w:rFonts w:cs="Tahoma"/>
          <w:sz w:val="22"/>
          <w:szCs w:val="22"/>
        </w:rPr>
      </w:pPr>
    </w:p>
    <w:p w14:paraId="5AC447B1" w14:textId="77777777" w:rsidR="00DE3C06" w:rsidRDefault="00DE3C06" w:rsidP="00DE3C06">
      <w:pPr>
        <w:spacing w:line="276" w:lineRule="auto"/>
        <w:ind w:left="284"/>
        <w:jc w:val="both"/>
        <w:rPr>
          <w:rFonts w:cs="Tahoma"/>
          <w:sz w:val="22"/>
          <w:szCs w:val="22"/>
        </w:rPr>
      </w:pPr>
    </w:p>
    <w:p w14:paraId="36FF3854" w14:textId="77777777" w:rsidR="00DE3C06" w:rsidRPr="000C5171" w:rsidRDefault="00DE3C06" w:rsidP="00DE3C06">
      <w:pPr>
        <w:spacing w:line="276" w:lineRule="auto"/>
        <w:ind w:left="284"/>
        <w:jc w:val="both"/>
        <w:rPr>
          <w:rFonts w:cs="Tahoma"/>
          <w:sz w:val="22"/>
          <w:szCs w:val="22"/>
        </w:rPr>
      </w:pPr>
    </w:p>
    <w:p w14:paraId="7820BEFC" w14:textId="77777777" w:rsidR="00DE3C06" w:rsidRPr="000C5171" w:rsidRDefault="00DE3C06">
      <w:pPr>
        <w:pStyle w:val="Ttulo1"/>
        <w:numPr>
          <w:ilvl w:val="0"/>
          <w:numId w:val="2"/>
        </w:numPr>
        <w:spacing w:line="276" w:lineRule="auto"/>
        <w:rPr>
          <w:rFonts w:cs="Tahoma"/>
        </w:rPr>
      </w:pPr>
      <w:bookmarkStart w:id="22" w:name="_Toc234168087"/>
      <w:r w:rsidRPr="000C5171">
        <w:rPr>
          <w:rFonts w:cs="Tahoma"/>
        </w:rPr>
        <w:t>EJECUCIONES PRESUPUESTALES Y SITUACIÓN DE LOS RECURSOS</w:t>
      </w:r>
      <w:bookmarkEnd w:id="22"/>
      <w:r w:rsidRPr="000C5171">
        <w:rPr>
          <w:rFonts w:cs="Tahoma"/>
        </w:rPr>
        <w:t xml:space="preserve">     </w:t>
      </w:r>
    </w:p>
    <w:p w14:paraId="1B4BCCE6" w14:textId="77777777" w:rsidR="00DE3C06" w:rsidRPr="000C5171" w:rsidRDefault="00DE3C06" w:rsidP="00DE3C06">
      <w:pPr>
        <w:tabs>
          <w:tab w:val="left" w:pos="4536"/>
        </w:tabs>
        <w:spacing w:after="0" w:line="276" w:lineRule="auto"/>
        <w:jc w:val="both"/>
        <w:rPr>
          <w:rFonts w:cs="Tahoma"/>
          <w:color w:val="000000" w:themeColor="text1"/>
          <w:sz w:val="22"/>
          <w:szCs w:val="22"/>
        </w:rPr>
      </w:pPr>
      <w:r w:rsidRPr="000C5171">
        <w:rPr>
          <w:rFonts w:cs="Tahoma"/>
          <w:color w:val="000000" w:themeColor="text1"/>
          <w:sz w:val="22"/>
          <w:szCs w:val="22"/>
        </w:rPr>
        <w:t>La ART para su funcionamiento e inversión recibe recursos de manera directa a través del Presupuesto General de la Nación (</w:t>
      </w:r>
      <w:proofErr w:type="gramStart"/>
      <w:r w:rsidRPr="000C5171">
        <w:rPr>
          <w:rFonts w:cs="Tahoma"/>
          <w:color w:val="000000" w:themeColor="text1"/>
          <w:sz w:val="22"/>
          <w:szCs w:val="22"/>
        </w:rPr>
        <w:t>PGN)  y</w:t>
      </w:r>
      <w:proofErr w:type="gramEnd"/>
      <w:r w:rsidRPr="000C5171">
        <w:rPr>
          <w:rFonts w:cs="Tahoma"/>
          <w:color w:val="000000" w:themeColor="text1"/>
          <w:sz w:val="22"/>
          <w:szCs w:val="22"/>
        </w:rPr>
        <w:t xml:space="preserve"> por asignación a la Subcuenta PDET del Fondo Colombia en Paz, que son los más representativos. </w:t>
      </w:r>
    </w:p>
    <w:p w14:paraId="46005711" w14:textId="77777777" w:rsidR="00DE3C06" w:rsidRPr="000C5171" w:rsidRDefault="00DE3C06" w:rsidP="00DE3C06">
      <w:pPr>
        <w:tabs>
          <w:tab w:val="left" w:pos="4536"/>
        </w:tabs>
        <w:spacing w:after="0" w:line="276" w:lineRule="auto"/>
        <w:jc w:val="both"/>
        <w:rPr>
          <w:rFonts w:cs="Tahoma"/>
          <w:color w:val="000000" w:themeColor="text1"/>
          <w:sz w:val="22"/>
          <w:szCs w:val="22"/>
        </w:rPr>
      </w:pPr>
      <w:r w:rsidRPr="000C5171">
        <w:rPr>
          <w:rFonts w:cs="Tahoma"/>
          <w:color w:val="000000" w:themeColor="text1"/>
          <w:sz w:val="22"/>
          <w:szCs w:val="22"/>
        </w:rPr>
        <w:tab/>
      </w:r>
    </w:p>
    <w:p w14:paraId="1618F3E8" w14:textId="77777777" w:rsidR="00DE3C06" w:rsidRPr="000C5171" w:rsidRDefault="00DE3C06" w:rsidP="00DE3C06">
      <w:pPr>
        <w:tabs>
          <w:tab w:val="left" w:pos="4536"/>
        </w:tabs>
        <w:spacing w:after="0" w:line="276" w:lineRule="auto"/>
        <w:jc w:val="both"/>
        <w:rPr>
          <w:rFonts w:cs="Tahoma"/>
          <w:color w:val="000000" w:themeColor="text1"/>
          <w:sz w:val="22"/>
          <w:szCs w:val="22"/>
        </w:rPr>
      </w:pPr>
      <w:r w:rsidRPr="000C5171">
        <w:rPr>
          <w:rFonts w:cs="Tahoma"/>
          <w:color w:val="000000" w:themeColor="text1"/>
          <w:sz w:val="22"/>
          <w:szCs w:val="22"/>
        </w:rPr>
        <w:t xml:space="preserve">A continuación se describe la situación de los recursos a través del numeral </w:t>
      </w:r>
      <w:r w:rsidRPr="000C5171">
        <w:rPr>
          <w:rFonts w:cs="Tahoma"/>
          <w:b/>
          <w:bCs/>
          <w:color w:val="000000" w:themeColor="text1"/>
          <w:sz w:val="22"/>
          <w:szCs w:val="22"/>
        </w:rPr>
        <w:t xml:space="preserve">7 para lo cual se desarrollan los contenidos reglamentarios con los numerales 7.1  al  7.11 </w:t>
      </w:r>
      <w:r w:rsidRPr="000C5171">
        <w:rPr>
          <w:rFonts w:cs="Tahoma"/>
          <w:color w:val="000000" w:themeColor="text1"/>
          <w:sz w:val="22"/>
          <w:szCs w:val="22"/>
        </w:rPr>
        <w:t>en dónde se describen los recursos y ejecución de presupuesto derivados del</w:t>
      </w:r>
      <w:r w:rsidRPr="000C5171">
        <w:rPr>
          <w:rFonts w:cs="Tahoma"/>
          <w:b/>
          <w:bCs/>
          <w:color w:val="000000" w:themeColor="text1"/>
          <w:sz w:val="22"/>
          <w:szCs w:val="22"/>
        </w:rPr>
        <w:t xml:space="preserve"> Presupuesto General de la Nación (ART-PGN)</w:t>
      </w:r>
      <w:r w:rsidRPr="000C5171">
        <w:rPr>
          <w:rFonts w:cs="Tahoma"/>
          <w:color w:val="000000" w:themeColor="text1"/>
          <w:sz w:val="22"/>
          <w:szCs w:val="22"/>
        </w:rPr>
        <w:t xml:space="preserve">; por otra parte es importante dar a conocer las acciones de la </w:t>
      </w:r>
      <w:r w:rsidRPr="000C5171">
        <w:rPr>
          <w:rFonts w:cs="Tahoma"/>
          <w:color w:val="000000" w:themeColor="text1"/>
          <w:sz w:val="22"/>
          <w:szCs w:val="22"/>
          <w:u w:val="single"/>
        </w:rPr>
        <w:t>situación de los recursos</w:t>
      </w:r>
      <w:r w:rsidRPr="000C5171">
        <w:rPr>
          <w:rFonts w:cs="Tahoma"/>
          <w:color w:val="000000" w:themeColor="text1"/>
          <w:sz w:val="22"/>
          <w:szCs w:val="22"/>
        </w:rPr>
        <w:t xml:space="preserve"> que se reciben por la </w:t>
      </w:r>
      <w:r w:rsidRPr="000C5171">
        <w:rPr>
          <w:rFonts w:cs="Tahoma"/>
          <w:b/>
          <w:bCs/>
          <w:color w:val="000000" w:themeColor="text1"/>
          <w:sz w:val="22"/>
          <w:szCs w:val="22"/>
        </w:rPr>
        <w:t>Subcuenta Fondo Colombia en Paz (ART-</w:t>
      </w:r>
      <w:r w:rsidRPr="000C5171">
        <w:rPr>
          <w:rFonts w:cs="Tahoma"/>
          <w:b/>
          <w:bCs/>
          <w:color w:val="000000" w:themeColor="text1"/>
          <w:sz w:val="22"/>
          <w:szCs w:val="22"/>
          <w:u w:val="single"/>
        </w:rPr>
        <w:t>FCP</w:t>
      </w:r>
      <w:r w:rsidRPr="000C5171">
        <w:rPr>
          <w:rFonts w:cs="Tahoma"/>
          <w:b/>
          <w:bCs/>
          <w:color w:val="000000" w:themeColor="text1"/>
          <w:sz w:val="22"/>
          <w:szCs w:val="22"/>
        </w:rPr>
        <w:t>)</w:t>
      </w:r>
      <w:r w:rsidRPr="000C5171">
        <w:rPr>
          <w:rFonts w:cs="Tahoma"/>
          <w:color w:val="000000" w:themeColor="text1"/>
          <w:sz w:val="22"/>
          <w:szCs w:val="22"/>
        </w:rPr>
        <w:t xml:space="preserve">, por lo cual se mencionan los recursos de la subcuenta en especial el numeral </w:t>
      </w:r>
      <w:r w:rsidRPr="000C5171">
        <w:rPr>
          <w:rFonts w:cs="Tahoma"/>
          <w:b/>
          <w:bCs/>
          <w:color w:val="000000" w:themeColor="text1"/>
          <w:sz w:val="22"/>
          <w:szCs w:val="22"/>
        </w:rPr>
        <w:t>7.4.2 en el cual se describe la gestión y alertas frente a los recursos por asignación para el PDET-PATR por parte de la subcuenta</w:t>
      </w:r>
      <w:r w:rsidRPr="000C5171">
        <w:rPr>
          <w:rFonts w:cs="Tahoma"/>
          <w:color w:val="000000" w:themeColor="text1"/>
          <w:sz w:val="22"/>
          <w:szCs w:val="22"/>
        </w:rPr>
        <w:t>.</w:t>
      </w:r>
    </w:p>
    <w:p w14:paraId="5651BEC2" w14:textId="77777777" w:rsidR="00DE3C06" w:rsidRPr="000C5171" w:rsidRDefault="00DE3C06" w:rsidP="00DE3C06">
      <w:pPr>
        <w:tabs>
          <w:tab w:val="left" w:pos="4536"/>
        </w:tabs>
        <w:spacing w:after="0" w:line="276" w:lineRule="auto"/>
        <w:jc w:val="both"/>
        <w:rPr>
          <w:rFonts w:cs="Tahoma"/>
          <w:color w:val="000000" w:themeColor="text1"/>
          <w:sz w:val="22"/>
          <w:szCs w:val="22"/>
        </w:rPr>
      </w:pPr>
    </w:p>
    <w:p w14:paraId="190FEA27" w14:textId="77777777" w:rsidR="00DE3C06" w:rsidRPr="000C5171" w:rsidRDefault="00DE3C06" w:rsidP="00DE3C06">
      <w:pPr>
        <w:spacing w:line="276" w:lineRule="auto"/>
        <w:jc w:val="center"/>
        <w:rPr>
          <w:b/>
          <w:bCs/>
          <w:sz w:val="22"/>
          <w:szCs w:val="22"/>
        </w:rPr>
      </w:pPr>
      <w:r w:rsidRPr="000C5171">
        <w:rPr>
          <w:b/>
          <w:bCs/>
          <w:sz w:val="22"/>
          <w:szCs w:val="22"/>
        </w:rPr>
        <w:t>RECURSOS PRESUPUESTO GENERAL DE LA NACIÓN (PGN)</w:t>
      </w:r>
    </w:p>
    <w:p w14:paraId="12968D32" w14:textId="77777777" w:rsidR="00DE3C06" w:rsidRPr="000C5171" w:rsidRDefault="00DE3C06" w:rsidP="00DE3C06">
      <w:pPr>
        <w:spacing w:line="276" w:lineRule="auto"/>
        <w:jc w:val="both"/>
        <w:rPr>
          <w:b/>
          <w:bCs/>
          <w:sz w:val="22"/>
          <w:szCs w:val="22"/>
        </w:rPr>
      </w:pPr>
      <w:r w:rsidRPr="000C5171">
        <w:rPr>
          <w:rFonts w:cs="Tahoma"/>
          <w:sz w:val="22"/>
          <w:szCs w:val="22"/>
        </w:rPr>
        <w:t xml:space="preserve">Se presentan los contenidos INGRESOS Y GASTOS POR VIGENCIA en el </w:t>
      </w:r>
      <w:r w:rsidRPr="000C5171">
        <w:rPr>
          <w:rFonts w:cs="Tahoma"/>
          <w:b/>
          <w:bCs/>
          <w:sz w:val="22"/>
          <w:szCs w:val="22"/>
        </w:rPr>
        <w:t>ANEXO 12A</w:t>
      </w:r>
      <w:r w:rsidRPr="000C5171">
        <w:rPr>
          <w:rFonts w:cs="Tahoma"/>
          <w:sz w:val="22"/>
          <w:szCs w:val="22"/>
        </w:rPr>
        <w:t xml:space="preserve">, que Contiene dos hojas en Excel y se anexa el anteproyecto de presupuesto 2027 </w:t>
      </w:r>
      <w:r w:rsidRPr="000C5171">
        <w:rPr>
          <w:rFonts w:cs="Tahoma"/>
          <w:b/>
          <w:bCs/>
          <w:sz w:val="22"/>
          <w:szCs w:val="22"/>
        </w:rPr>
        <w:t>ANEXO 12 B</w:t>
      </w:r>
      <w:r w:rsidRPr="000C5171">
        <w:rPr>
          <w:rFonts w:cs="Tahoma"/>
          <w:sz w:val="22"/>
          <w:szCs w:val="22"/>
        </w:rPr>
        <w:t>.</w:t>
      </w:r>
    </w:p>
    <w:p w14:paraId="34B38564" w14:textId="77777777" w:rsidR="00DE3C06" w:rsidRPr="000C5171" w:rsidRDefault="00DE3C06" w:rsidP="00DE3C06">
      <w:pPr>
        <w:pStyle w:val="Prrafodelista"/>
        <w:spacing w:line="276" w:lineRule="auto"/>
        <w:ind w:left="0"/>
        <w:jc w:val="both"/>
        <w:rPr>
          <w:rFonts w:cs="Tahoma"/>
          <w:sz w:val="22"/>
          <w:szCs w:val="22"/>
        </w:rPr>
      </w:pPr>
    </w:p>
    <w:p w14:paraId="66111914" w14:textId="77777777" w:rsidR="00DE3C06" w:rsidRPr="000C5171" w:rsidRDefault="00DE3C06" w:rsidP="00DE3C06">
      <w:pPr>
        <w:pStyle w:val="Ttulo1"/>
        <w:spacing w:line="276" w:lineRule="auto"/>
        <w:rPr>
          <w:rFonts w:cs="Tahoma"/>
          <w:color w:val="0070C0"/>
        </w:rPr>
      </w:pPr>
      <w:bookmarkStart w:id="23" w:name="_Toc234168088"/>
      <w:r w:rsidRPr="000C5171">
        <w:rPr>
          <w:rStyle w:val="SubttuloCar"/>
          <w:rFonts w:cs="Tahoma"/>
          <w:b/>
          <w:bCs/>
        </w:rPr>
        <w:t>7.1 Vigencias futuras</w:t>
      </w:r>
      <w:bookmarkEnd w:id="23"/>
      <w:r w:rsidRPr="000C5171">
        <w:rPr>
          <w:rStyle w:val="SubttuloCar"/>
          <w:rFonts w:cs="Tahoma"/>
          <w:b/>
          <w:bCs/>
        </w:rPr>
        <w:t xml:space="preserve"> </w:t>
      </w:r>
      <w:r w:rsidRPr="000C5171">
        <w:rPr>
          <w:rFonts w:cs="Tahoma"/>
          <w:color w:val="0070C0"/>
        </w:rPr>
        <w:t xml:space="preserve"> </w:t>
      </w:r>
    </w:p>
    <w:p w14:paraId="38FC069B" w14:textId="77777777" w:rsidR="00DE3C06" w:rsidRPr="000C5171" w:rsidRDefault="00DE3C06" w:rsidP="00DE3C06">
      <w:pPr>
        <w:spacing w:line="276" w:lineRule="auto"/>
        <w:rPr>
          <w:rFonts w:cs="Tahoma"/>
          <w:sz w:val="22"/>
          <w:szCs w:val="22"/>
        </w:rPr>
      </w:pPr>
      <w:r w:rsidRPr="000C5171">
        <w:rPr>
          <w:rFonts w:cs="Tahoma"/>
          <w:sz w:val="22"/>
          <w:szCs w:val="22"/>
        </w:rPr>
        <w:t xml:space="preserve">En el </w:t>
      </w:r>
      <w:r w:rsidRPr="000C5171">
        <w:rPr>
          <w:rFonts w:cs="Tahoma"/>
          <w:b/>
          <w:sz w:val="22"/>
          <w:szCs w:val="22"/>
        </w:rPr>
        <w:t>ANEXO</w:t>
      </w:r>
      <w:r w:rsidRPr="000C5171">
        <w:rPr>
          <w:rFonts w:cs="Tahoma"/>
          <w:b/>
          <w:bCs/>
          <w:sz w:val="22"/>
          <w:szCs w:val="22"/>
        </w:rPr>
        <w:t xml:space="preserve"> 13</w:t>
      </w:r>
      <w:r w:rsidRPr="000C5171">
        <w:rPr>
          <w:rFonts w:cs="Tahoma"/>
          <w:sz w:val="22"/>
          <w:szCs w:val="22"/>
        </w:rPr>
        <w:t xml:space="preserve"> se presenta la relación de Vigencias Futuras en formato Excel para facilitar su consulta, para cada periodo fiscal: 2022, 2023, 2024, 2025, 2026.</w:t>
      </w:r>
    </w:p>
    <w:p w14:paraId="37964931" w14:textId="77777777" w:rsidR="00DE3C06" w:rsidRPr="000C5171" w:rsidRDefault="00DE3C06" w:rsidP="00DE3C06">
      <w:pPr>
        <w:pStyle w:val="Ttulo1"/>
        <w:spacing w:line="276" w:lineRule="auto"/>
        <w:rPr>
          <w:rFonts w:cs="Tahoma"/>
          <w:color w:val="0070C0"/>
        </w:rPr>
      </w:pPr>
    </w:p>
    <w:p w14:paraId="1B82B153" w14:textId="77777777" w:rsidR="00DE3C06" w:rsidRPr="000C5171" w:rsidRDefault="00DE3C06" w:rsidP="00DE3C06">
      <w:pPr>
        <w:pStyle w:val="Ttulo1"/>
        <w:spacing w:line="276" w:lineRule="auto"/>
        <w:rPr>
          <w:rFonts w:cs="Tahoma"/>
          <w:color w:val="0070C0"/>
        </w:rPr>
      </w:pPr>
      <w:bookmarkStart w:id="24" w:name="_Toc234168089"/>
      <w:r w:rsidRPr="000C5171">
        <w:rPr>
          <w:rFonts w:cs="Tahoma"/>
          <w:color w:val="0070C0"/>
        </w:rPr>
        <w:t>7.2 Reservas presupuestales</w:t>
      </w:r>
      <w:bookmarkEnd w:id="24"/>
      <w:r w:rsidRPr="000C5171">
        <w:rPr>
          <w:rFonts w:cs="Tahoma"/>
          <w:color w:val="0070C0"/>
        </w:rPr>
        <w:t xml:space="preserve"> </w:t>
      </w:r>
    </w:p>
    <w:p w14:paraId="7FD96C6E" w14:textId="77777777" w:rsidR="00DE3C06" w:rsidRPr="000C5171" w:rsidRDefault="00DE3C06" w:rsidP="00DE3C06">
      <w:pPr>
        <w:spacing w:line="276" w:lineRule="auto"/>
        <w:rPr>
          <w:rFonts w:cs="Tahoma"/>
          <w:sz w:val="22"/>
          <w:szCs w:val="22"/>
        </w:rPr>
      </w:pPr>
      <w:r w:rsidRPr="000C5171">
        <w:rPr>
          <w:rFonts w:cs="Tahoma"/>
          <w:sz w:val="22"/>
          <w:szCs w:val="22"/>
        </w:rPr>
        <w:t xml:space="preserve">En </w:t>
      </w:r>
      <w:r w:rsidRPr="000C5171">
        <w:rPr>
          <w:rFonts w:cs="Tahoma"/>
          <w:b/>
          <w:bCs/>
          <w:sz w:val="22"/>
          <w:szCs w:val="22"/>
        </w:rPr>
        <w:t>ANEXO 14</w:t>
      </w:r>
      <w:r w:rsidRPr="000C5171">
        <w:rPr>
          <w:rFonts w:cs="Tahoma"/>
          <w:sz w:val="22"/>
          <w:szCs w:val="22"/>
        </w:rPr>
        <w:t xml:space="preserve"> se presenta la relación de Reservas Presupuestales en formato Excel para facilitar su consulta.</w:t>
      </w:r>
    </w:p>
    <w:p w14:paraId="5321A967" w14:textId="77777777" w:rsidR="00DE3C06" w:rsidRPr="000C5171" w:rsidRDefault="00DE3C06" w:rsidP="00DE3C06">
      <w:pPr>
        <w:pStyle w:val="Ttulo1"/>
        <w:spacing w:line="276" w:lineRule="auto"/>
        <w:rPr>
          <w:rFonts w:cs="Tahoma"/>
        </w:rPr>
      </w:pPr>
      <w:bookmarkStart w:id="25" w:name="_Toc234168090"/>
      <w:r w:rsidRPr="000C5171">
        <w:rPr>
          <w:rFonts w:cs="Tahoma"/>
          <w:color w:val="0070C0"/>
        </w:rPr>
        <w:t>7.3 Cuentas por pagar</w:t>
      </w:r>
      <w:bookmarkEnd w:id="25"/>
    </w:p>
    <w:p w14:paraId="4D6CAE8E" w14:textId="77777777" w:rsidR="00DE3C06" w:rsidRDefault="00DE3C06" w:rsidP="00DE3C06">
      <w:pPr>
        <w:spacing w:line="276" w:lineRule="auto"/>
        <w:rPr>
          <w:rFonts w:cs="Tahoma"/>
          <w:sz w:val="22"/>
          <w:szCs w:val="22"/>
        </w:rPr>
      </w:pPr>
      <w:r w:rsidRPr="000C5171">
        <w:rPr>
          <w:rFonts w:cs="Tahoma"/>
          <w:sz w:val="22"/>
          <w:szCs w:val="22"/>
        </w:rPr>
        <w:t xml:space="preserve">En </w:t>
      </w:r>
      <w:r w:rsidRPr="000C5171">
        <w:rPr>
          <w:rFonts w:cs="Tahoma"/>
          <w:b/>
          <w:bCs/>
          <w:sz w:val="22"/>
          <w:szCs w:val="22"/>
        </w:rPr>
        <w:t>ANEXO 15</w:t>
      </w:r>
      <w:r w:rsidRPr="000C5171">
        <w:rPr>
          <w:rFonts w:cs="Tahoma"/>
          <w:sz w:val="22"/>
          <w:szCs w:val="22"/>
        </w:rPr>
        <w:t xml:space="preserve"> se presenta la relación de Cuentas por Pagar en formato Excel para facilitar su consulta.</w:t>
      </w:r>
    </w:p>
    <w:p w14:paraId="5D716B21" w14:textId="77777777" w:rsidR="00DE3C06" w:rsidRPr="000C5171" w:rsidRDefault="00DE3C06" w:rsidP="00DE3C06">
      <w:pPr>
        <w:spacing w:line="276" w:lineRule="auto"/>
        <w:rPr>
          <w:rFonts w:cs="Tahoma"/>
          <w:sz w:val="22"/>
          <w:szCs w:val="22"/>
        </w:rPr>
      </w:pPr>
    </w:p>
    <w:p w14:paraId="6327C041" w14:textId="77777777" w:rsidR="00DE3C06" w:rsidRPr="000C5171" w:rsidRDefault="00DE3C06" w:rsidP="00DE3C06">
      <w:pPr>
        <w:pStyle w:val="Ttulo1"/>
        <w:spacing w:line="276" w:lineRule="auto"/>
        <w:rPr>
          <w:rFonts w:cs="Tahoma"/>
          <w:color w:val="0070C0"/>
        </w:rPr>
      </w:pPr>
      <w:bookmarkStart w:id="26" w:name="_Toc234168091"/>
      <w:r w:rsidRPr="000C5171">
        <w:rPr>
          <w:rFonts w:cs="Tahoma"/>
          <w:color w:val="0070C0"/>
        </w:rPr>
        <w:t>7.4 Situación de los recursos</w:t>
      </w:r>
      <w:bookmarkEnd w:id="26"/>
      <w:r w:rsidRPr="000C5171">
        <w:rPr>
          <w:rFonts w:cs="Tahoma"/>
          <w:color w:val="0070C0"/>
        </w:rPr>
        <w:t xml:space="preserve"> </w:t>
      </w:r>
    </w:p>
    <w:p w14:paraId="070773B4" w14:textId="77777777" w:rsidR="00DE3C06" w:rsidRPr="000C5171" w:rsidRDefault="00DE3C06" w:rsidP="00DE3C06">
      <w:pPr>
        <w:spacing w:line="276" w:lineRule="auto"/>
        <w:jc w:val="both"/>
        <w:rPr>
          <w:rFonts w:cs="Tahoma"/>
          <w:color w:val="0070C0"/>
          <w:sz w:val="22"/>
          <w:szCs w:val="22"/>
        </w:rPr>
      </w:pPr>
      <w:r w:rsidRPr="000C5171">
        <w:rPr>
          <w:rFonts w:cs="Tahoma"/>
          <w:color w:val="0070C0"/>
          <w:sz w:val="22"/>
          <w:szCs w:val="22"/>
        </w:rPr>
        <w:t>7.4.1 Situación Recursos Presupuesto General de la Nación (PGN)</w:t>
      </w:r>
    </w:p>
    <w:p w14:paraId="43EE7E0F" w14:textId="77777777" w:rsidR="00DE3C06" w:rsidRPr="000C5171" w:rsidRDefault="00DE3C06" w:rsidP="00DE3C06">
      <w:pPr>
        <w:spacing w:line="276" w:lineRule="auto"/>
        <w:rPr>
          <w:rFonts w:eastAsia="Nunito" w:cs="Tahoma"/>
          <w:sz w:val="22"/>
          <w:szCs w:val="22"/>
        </w:rPr>
      </w:pPr>
      <w:r w:rsidRPr="000C5171">
        <w:rPr>
          <w:rFonts w:eastAsia="Nunito" w:cs="Tahoma"/>
          <w:sz w:val="22"/>
          <w:szCs w:val="22"/>
        </w:rPr>
        <w:t>ESTADO DE SITUACIÓN FINANCIERA Y RESULTADOS POR VIGENCIA</w:t>
      </w:r>
    </w:p>
    <w:p w14:paraId="2F66CBBC" w14:textId="77777777" w:rsidR="00DE3C06" w:rsidRPr="000C5171" w:rsidRDefault="00DE3C06" w:rsidP="00DE3C06">
      <w:pPr>
        <w:spacing w:line="276" w:lineRule="auto"/>
        <w:jc w:val="both"/>
        <w:rPr>
          <w:rFonts w:cs="Tahoma"/>
          <w:sz w:val="22"/>
          <w:szCs w:val="22"/>
        </w:rPr>
      </w:pPr>
      <w:r w:rsidRPr="000C5171">
        <w:rPr>
          <w:rFonts w:cs="Tahoma"/>
          <w:b/>
          <w:bCs/>
          <w:sz w:val="22"/>
          <w:szCs w:val="22"/>
        </w:rPr>
        <w:t>NOTA 1:</w:t>
      </w:r>
      <w:r w:rsidRPr="000C5171">
        <w:rPr>
          <w:rFonts w:cs="Tahoma"/>
          <w:sz w:val="22"/>
          <w:szCs w:val="22"/>
        </w:rPr>
        <w:t xml:space="preserve"> Se Adjunta el juego completo de Estados Financieros en formato Excel, para facilitar su consulta-</w:t>
      </w:r>
      <w:r w:rsidRPr="000C5171">
        <w:rPr>
          <w:rFonts w:cs="Tahoma"/>
          <w:b/>
          <w:bCs/>
          <w:sz w:val="22"/>
          <w:szCs w:val="22"/>
        </w:rPr>
        <w:t>ANEXO</w:t>
      </w:r>
      <w:r w:rsidRPr="000C5171">
        <w:rPr>
          <w:rFonts w:cs="Tahoma"/>
          <w:sz w:val="22"/>
          <w:szCs w:val="22"/>
        </w:rPr>
        <w:t xml:space="preserve"> </w:t>
      </w:r>
      <w:proofErr w:type="gramStart"/>
      <w:r w:rsidRPr="000C5171">
        <w:rPr>
          <w:rFonts w:cs="Tahoma"/>
          <w:b/>
          <w:bCs/>
          <w:sz w:val="22"/>
          <w:szCs w:val="22"/>
        </w:rPr>
        <w:t>16</w:t>
      </w:r>
      <w:r w:rsidRPr="000C5171">
        <w:rPr>
          <w:rFonts w:cs="Tahoma"/>
          <w:sz w:val="22"/>
          <w:szCs w:val="22"/>
        </w:rPr>
        <w:t xml:space="preserve">  (</w:t>
      </w:r>
      <w:proofErr w:type="gramEnd"/>
      <w:r w:rsidRPr="000C5171">
        <w:rPr>
          <w:rFonts w:cs="Tahoma"/>
          <w:sz w:val="22"/>
          <w:szCs w:val="22"/>
        </w:rPr>
        <w:t>Estado de la Situación Financiera, Estado de Resultados, Estado de Cambios en el Patrimonio, Estado de Flujo de Efectivos, cuando aplique, y Notas a los Estados Financieros)</w:t>
      </w:r>
    </w:p>
    <w:p w14:paraId="15A2AD50" w14:textId="77777777" w:rsidR="00DE3C06" w:rsidRPr="000C5171" w:rsidRDefault="00DE3C06" w:rsidP="00DE3C06">
      <w:pPr>
        <w:spacing w:line="276" w:lineRule="auto"/>
        <w:jc w:val="both"/>
        <w:rPr>
          <w:rFonts w:cs="Tahoma"/>
          <w:sz w:val="22"/>
          <w:szCs w:val="22"/>
        </w:rPr>
      </w:pPr>
      <w:r w:rsidRPr="000C5171">
        <w:rPr>
          <w:rFonts w:cs="Tahoma"/>
          <w:b/>
          <w:bCs/>
          <w:sz w:val="22"/>
          <w:szCs w:val="22"/>
        </w:rPr>
        <w:t>ANEXO</w:t>
      </w:r>
      <w:r w:rsidRPr="000C5171">
        <w:rPr>
          <w:rFonts w:cs="Tahoma"/>
          <w:sz w:val="22"/>
          <w:szCs w:val="22"/>
        </w:rPr>
        <w:t xml:space="preserve"> </w:t>
      </w:r>
      <w:r w:rsidRPr="000C5171">
        <w:rPr>
          <w:rFonts w:cs="Tahoma"/>
          <w:b/>
          <w:bCs/>
          <w:sz w:val="22"/>
          <w:szCs w:val="22"/>
        </w:rPr>
        <w:t>16</w:t>
      </w:r>
      <w:r>
        <w:rPr>
          <w:rFonts w:cs="Tahoma"/>
          <w:b/>
          <w:bCs/>
          <w:sz w:val="22"/>
          <w:szCs w:val="22"/>
        </w:rPr>
        <w:t>A</w:t>
      </w:r>
      <w:r w:rsidRPr="000C5171">
        <w:rPr>
          <w:rFonts w:cs="Tahoma"/>
          <w:sz w:val="22"/>
          <w:szCs w:val="22"/>
        </w:rPr>
        <w:t xml:space="preserve"> Se anexan carpetas por vigencia con: Estado de la Situación Financiera, Estado de Resultados y Estado de Cambios en el Patrimonio con sus respectivas notas con corte a 31 de diciembre de las vigencias 2022, 2023, 2024 y 2025 y 2026 con corte 31 de mayo.</w:t>
      </w:r>
    </w:p>
    <w:p w14:paraId="1CDF8A84" w14:textId="77777777" w:rsidR="00DE3C06" w:rsidRPr="000C5171" w:rsidRDefault="00DE3C06" w:rsidP="00DE3C06">
      <w:pPr>
        <w:spacing w:line="276" w:lineRule="auto"/>
        <w:jc w:val="both"/>
        <w:rPr>
          <w:rFonts w:cs="Tahoma"/>
          <w:sz w:val="22"/>
          <w:szCs w:val="22"/>
        </w:rPr>
      </w:pPr>
      <w:r w:rsidRPr="000C5171">
        <w:rPr>
          <w:rFonts w:cs="Tahoma"/>
          <w:b/>
          <w:bCs/>
          <w:sz w:val="22"/>
          <w:szCs w:val="22"/>
        </w:rPr>
        <w:lastRenderedPageBreak/>
        <w:t>NOTA 2:</w:t>
      </w:r>
      <w:r w:rsidRPr="000C5171">
        <w:rPr>
          <w:rFonts w:cs="Tahoma"/>
          <w:sz w:val="22"/>
          <w:szCs w:val="22"/>
        </w:rPr>
        <w:t xml:space="preserve"> De la vigencia 2026 no se adjunta Notas a los Estados Financieros porque en Estados Financieros de periodos intermedios no son obligatorias según el Procedimiento para la Preparación y Publicación de los Informes Financieros y Contables Mensuales establecido por la Contaduría General de la Nación. sin embargo, se anexa presentación con los hechos económicos más relevantes.</w:t>
      </w:r>
    </w:p>
    <w:p w14:paraId="46D1A320" w14:textId="77777777" w:rsidR="00DE3C06" w:rsidRPr="000C5171" w:rsidRDefault="00DE3C06" w:rsidP="00DE3C06">
      <w:pPr>
        <w:spacing w:line="276" w:lineRule="auto"/>
        <w:jc w:val="both"/>
        <w:rPr>
          <w:rFonts w:cs="Tahoma"/>
          <w:sz w:val="22"/>
          <w:szCs w:val="22"/>
        </w:rPr>
      </w:pPr>
      <w:r w:rsidRPr="000C5171">
        <w:rPr>
          <w:rFonts w:cs="Tahoma"/>
          <w:b/>
          <w:bCs/>
          <w:sz w:val="22"/>
          <w:szCs w:val="22"/>
        </w:rPr>
        <w:t>NOTA 3</w:t>
      </w:r>
      <w:r w:rsidRPr="000C5171">
        <w:rPr>
          <w:rFonts w:cs="Tahoma"/>
          <w:sz w:val="22"/>
          <w:szCs w:val="22"/>
        </w:rPr>
        <w:t>: No se adjuntan Estados de Flujos de Efectivo atendiendo lo establecido en la resolución 283 del 11 de octubre del 2022 y la resolución 339 del 28 de noviembre de 2025.</w:t>
      </w:r>
    </w:p>
    <w:p w14:paraId="736BCCCD" w14:textId="77777777" w:rsidR="00DE3C06" w:rsidRPr="000C5171" w:rsidRDefault="00DE3C06" w:rsidP="00DE3C06">
      <w:pPr>
        <w:spacing w:line="276" w:lineRule="auto"/>
        <w:jc w:val="both"/>
        <w:rPr>
          <w:rFonts w:cs="Tahoma"/>
          <w:sz w:val="22"/>
          <w:szCs w:val="22"/>
        </w:rPr>
      </w:pPr>
    </w:p>
    <w:p w14:paraId="099CCDEF" w14:textId="77777777" w:rsidR="00DE3C06" w:rsidRPr="000C5171" w:rsidRDefault="00DE3C06" w:rsidP="00DE3C06">
      <w:pPr>
        <w:spacing w:line="276" w:lineRule="auto"/>
        <w:ind w:left="851"/>
        <w:jc w:val="both"/>
        <w:rPr>
          <w:rFonts w:cs="Tahoma"/>
          <w:color w:val="0070C0"/>
          <w:sz w:val="22"/>
          <w:szCs w:val="22"/>
        </w:rPr>
      </w:pPr>
      <w:r w:rsidRPr="000C5171">
        <w:rPr>
          <w:rFonts w:cs="Tahoma"/>
          <w:color w:val="0070C0"/>
          <w:sz w:val="22"/>
          <w:szCs w:val="22"/>
        </w:rPr>
        <w:t xml:space="preserve">7.4.2 Otras fuentes _ Subcuenta FCP </w:t>
      </w:r>
    </w:p>
    <w:p w14:paraId="5F950E3B" w14:textId="77777777" w:rsidR="00DE3C06" w:rsidRPr="000C5171" w:rsidRDefault="00DE3C06" w:rsidP="00DE3C06">
      <w:pPr>
        <w:tabs>
          <w:tab w:val="left" w:pos="4536"/>
        </w:tabs>
        <w:spacing w:after="0" w:line="276" w:lineRule="auto"/>
        <w:jc w:val="both"/>
        <w:rPr>
          <w:rFonts w:cs="Tahoma"/>
          <w:color w:val="000000" w:themeColor="text1"/>
          <w:sz w:val="22"/>
          <w:szCs w:val="22"/>
        </w:rPr>
      </w:pPr>
      <w:r w:rsidRPr="000C5171">
        <w:rPr>
          <w:rFonts w:cs="Tahoma"/>
          <w:color w:val="000000" w:themeColor="text1"/>
          <w:sz w:val="22"/>
          <w:szCs w:val="22"/>
        </w:rPr>
        <w:t xml:space="preserve">Como se menciona al inicio del numeral 7, la ART, para su funcionamiento e inversión recibe recursos de manera directa a través del PGN y por asignación a la Subcuenta PDET del Fondo Colombia en Paz, que son los más representativos. </w:t>
      </w:r>
    </w:p>
    <w:p w14:paraId="744FE76A" w14:textId="77777777" w:rsidR="00DE3C06" w:rsidRPr="000C5171" w:rsidRDefault="00DE3C06" w:rsidP="00DE3C06">
      <w:pPr>
        <w:tabs>
          <w:tab w:val="left" w:pos="4536"/>
        </w:tabs>
        <w:spacing w:after="0" w:line="276" w:lineRule="auto"/>
        <w:jc w:val="both"/>
        <w:rPr>
          <w:rFonts w:cs="Tahoma"/>
          <w:color w:val="000000" w:themeColor="text1"/>
          <w:sz w:val="22"/>
          <w:szCs w:val="22"/>
        </w:rPr>
      </w:pPr>
    </w:p>
    <w:p w14:paraId="386DC29F" w14:textId="77777777" w:rsidR="00DE3C06" w:rsidRPr="000C5171" w:rsidRDefault="00DE3C06" w:rsidP="00DE3C06">
      <w:pPr>
        <w:spacing w:after="0" w:line="276" w:lineRule="auto"/>
        <w:jc w:val="both"/>
        <w:rPr>
          <w:rFonts w:cs="Tahoma"/>
          <w:color w:val="000000" w:themeColor="text1"/>
          <w:sz w:val="22"/>
          <w:szCs w:val="22"/>
        </w:rPr>
      </w:pPr>
      <w:r w:rsidRPr="000C5171">
        <w:rPr>
          <w:rFonts w:cs="Tahoma"/>
          <w:color w:val="000000" w:themeColor="text1"/>
          <w:sz w:val="22"/>
          <w:szCs w:val="22"/>
        </w:rPr>
        <w:t xml:space="preserve">Es por ello </w:t>
      </w:r>
      <w:proofErr w:type="gramStart"/>
      <w:r w:rsidRPr="000C5171">
        <w:rPr>
          <w:rFonts w:cs="Tahoma"/>
          <w:color w:val="000000" w:themeColor="text1"/>
          <w:sz w:val="22"/>
          <w:szCs w:val="22"/>
        </w:rPr>
        <w:t>que</w:t>
      </w:r>
      <w:proofErr w:type="gramEnd"/>
      <w:r w:rsidRPr="000C5171">
        <w:rPr>
          <w:rFonts w:cs="Tahoma"/>
          <w:color w:val="000000" w:themeColor="text1"/>
          <w:sz w:val="22"/>
          <w:szCs w:val="22"/>
        </w:rPr>
        <w:t xml:space="preserve"> una vez presentado el informe de la ejecución presupuestal por PGN, se considera importante incluir este numeral en el cual se expresa la preocupación institucional, por la no asignación de recursos de inversión al Fondo Colombia en Paz -FCP, que hoy afecta de manera directa la capacidad operativa de la Agencia de Renovación del Territorio – ART y de las entidades de la paz en su conjunto.</w:t>
      </w:r>
    </w:p>
    <w:p w14:paraId="65D02401" w14:textId="77777777" w:rsidR="00DE3C06" w:rsidRPr="000C5171" w:rsidRDefault="00DE3C06" w:rsidP="00DE3C06">
      <w:pPr>
        <w:spacing w:after="0" w:line="276" w:lineRule="auto"/>
        <w:jc w:val="both"/>
        <w:rPr>
          <w:rFonts w:cs="Tahoma"/>
          <w:color w:val="000000" w:themeColor="text1"/>
          <w:sz w:val="22"/>
          <w:szCs w:val="22"/>
        </w:rPr>
      </w:pPr>
    </w:p>
    <w:p w14:paraId="7D0216D2" w14:textId="77777777" w:rsidR="00DE3C06" w:rsidRPr="000C5171" w:rsidRDefault="00DE3C06" w:rsidP="00DE3C06">
      <w:pPr>
        <w:spacing w:after="0" w:line="276" w:lineRule="auto"/>
        <w:jc w:val="both"/>
        <w:rPr>
          <w:rFonts w:cs="Tahoma"/>
          <w:color w:val="000000" w:themeColor="text1"/>
          <w:sz w:val="22"/>
          <w:szCs w:val="22"/>
        </w:rPr>
      </w:pPr>
      <w:r w:rsidRPr="000C5171">
        <w:rPr>
          <w:rFonts w:cs="Tahoma"/>
          <w:color w:val="000000" w:themeColor="text1"/>
          <w:sz w:val="22"/>
          <w:szCs w:val="22"/>
        </w:rPr>
        <w:t>Lo anterior constituye la principal alerta frente al riesgo de no contar con los recursos de inversión provenientes de la denominada bolsa paz, ni con el respaldo presupuestal suficiente para atender obligaciones legalmente adquiridas, ejecutar proyectos PDET concertados con los territorios y garantizar la operación mínima de los equipos locales.</w:t>
      </w:r>
    </w:p>
    <w:p w14:paraId="54327C09" w14:textId="77777777" w:rsidR="00DE3C06" w:rsidRPr="000C5171" w:rsidRDefault="00DE3C06" w:rsidP="00DE3C06">
      <w:pPr>
        <w:spacing w:after="0" w:line="276" w:lineRule="auto"/>
        <w:jc w:val="both"/>
        <w:rPr>
          <w:rFonts w:cs="Tahoma"/>
          <w:color w:val="000000" w:themeColor="text1"/>
          <w:sz w:val="22"/>
          <w:szCs w:val="22"/>
        </w:rPr>
      </w:pPr>
    </w:p>
    <w:p w14:paraId="2FCD47F4" w14:textId="77777777" w:rsidR="00DE3C06" w:rsidRPr="000C5171" w:rsidRDefault="00DE3C06" w:rsidP="00DE3C06">
      <w:pPr>
        <w:spacing w:after="0" w:line="276" w:lineRule="auto"/>
        <w:jc w:val="both"/>
        <w:rPr>
          <w:rFonts w:cs="Tahoma"/>
          <w:color w:val="000000" w:themeColor="text1"/>
          <w:sz w:val="22"/>
          <w:szCs w:val="22"/>
        </w:rPr>
      </w:pPr>
      <w:r w:rsidRPr="000C5171">
        <w:rPr>
          <w:rFonts w:cs="Tahoma"/>
          <w:color w:val="000000" w:themeColor="text1"/>
          <w:sz w:val="22"/>
          <w:szCs w:val="22"/>
        </w:rPr>
        <w:t>En efecto, los recursos que tradicionalmente han ingresado a la ART (en especial aquellos canalizados a través de la Subcuenta PDET del FCP) se han visto gravemente afectados por dos hechos críticos:</w:t>
      </w:r>
    </w:p>
    <w:p w14:paraId="714E1795" w14:textId="77777777" w:rsidR="00DE3C06" w:rsidRPr="000C5171" w:rsidRDefault="00DE3C06" w:rsidP="00DE3C06">
      <w:pPr>
        <w:spacing w:after="0" w:line="276" w:lineRule="auto"/>
        <w:jc w:val="both"/>
        <w:rPr>
          <w:rFonts w:cs="Tahoma"/>
          <w:color w:val="000000" w:themeColor="text1"/>
          <w:sz w:val="22"/>
          <w:szCs w:val="22"/>
        </w:rPr>
      </w:pPr>
      <w:r w:rsidRPr="000C5171">
        <w:rPr>
          <w:rFonts w:cs="Tahoma"/>
          <w:color w:val="000000" w:themeColor="text1"/>
          <w:sz w:val="22"/>
          <w:szCs w:val="22"/>
        </w:rPr>
        <w:t xml:space="preserve">    </w:t>
      </w:r>
    </w:p>
    <w:p w14:paraId="5BEB94F5" w14:textId="77777777" w:rsidR="00DE3C06" w:rsidRPr="000C5171" w:rsidRDefault="00DE3C06">
      <w:pPr>
        <w:pStyle w:val="Prrafodelista"/>
        <w:numPr>
          <w:ilvl w:val="0"/>
          <w:numId w:val="16"/>
        </w:numPr>
        <w:spacing w:after="0" w:line="276" w:lineRule="auto"/>
        <w:ind w:left="851"/>
        <w:jc w:val="both"/>
        <w:rPr>
          <w:rFonts w:cs="Tahoma"/>
          <w:color w:val="000000" w:themeColor="text1"/>
          <w:sz w:val="22"/>
          <w:szCs w:val="22"/>
        </w:rPr>
      </w:pPr>
      <w:r w:rsidRPr="000C5171">
        <w:rPr>
          <w:rFonts w:cs="Tahoma"/>
          <w:color w:val="000000" w:themeColor="text1"/>
          <w:sz w:val="22"/>
          <w:szCs w:val="22"/>
        </w:rPr>
        <w:t>Ausencia de asignaciones de inversión en las vigencias 2024, 2025 y 2026.</w:t>
      </w:r>
    </w:p>
    <w:p w14:paraId="77BE4F25" w14:textId="77777777" w:rsidR="00DE3C06" w:rsidRPr="000C5171" w:rsidRDefault="00DE3C06" w:rsidP="00DE3C06">
      <w:pPr>
        <w:pStyle w:val="Prrafodelista"/>
        <w:rPr>
          <w:rFonts w:cs="Tahoma"/>
          <w:color w:val="000000" w:themeColor="text1"/>
          <w:sz w:val="22"/>
          <w:szCs w:val="22"/>
        </w:rPr>
      </w:pPr>
    </w:p>
    <w:p w14:paraId="5AEF3DF8" w14:textId="77777777" w:rsidR="00DE3C06" w:rsidRPr="000C5171" w:rsidRDefault="00DE3C06">
      <w:pPr>
        <w:pStyle w:val="Prrafodelista"/>
        <w:numPr>
          <w:ilvl w:val="0"/>
          <w:numId w:val="16"/>
        </w:numPr>
        <w:spacing w:after="0" w:line="276" w:lineRule="auto"/>
        <w:ind w:left="851"/>
        <w:jc w:val="both"/>
        <w:rPr>
          <w:rFonts w:cs="Tahoma"/>
          <w:color w:val="000000" w:themeColor="text1"/>
          <w:sz w:val="22"/>
          <w:szCs w:val="22"/>
        </w:rPr>
      </w:pPr>
      <w:r w:rsidRPr="000C5171">
        <w:rPr>
          <w:rFonts w:cs="Tahoma"/>
          <w:color w:val="000000" w:themeColor="text1"/>
          <w:sz w:val="22"/>
          <w:szCs w:val="22"/>
        </w:rPr>
        <w:t>No materialización de una asignación de recursos acorde con los techos presupuestales definidos para las diferentes líneas de acción de la Subcuenta PDET, alcanzándose en términos agregados únicamente cerca del 47% de la capacidad de financiación programada, lo que limitó el desarrollo de las intervenciones estratégicas previstas por la Entidad.</w:t>
      </w:r>
    </w:p>
    <w:p w14:paraId="272932EE" w14:textId="77777777" w:rsidR="00DE3C06" w:rsidRPr="000C5171" w:rsidRDefault="00DE3C06" w:rsidP="00DE3C06">
      <w:pPr>
        <w:spacing w:after="0" w:line="276" w:lineRule="auto"/>
        <w:jc w:val="both"/>
        <w:rPr>
          <w:rFonts w:cs="Tahoma"/>
          <w:color w:val="000000" w:themeColor="text1"/>
          <w:sz w:val="22"/>
          <w:szCs w:val="22"/>
        </w:rPr>
      </w:pPr>
    </w:p>
    <w:p w14:paraId="72939426" w14:textId="77777777" w:rsidR="00DE3C06" w:rsidRPr="000C5171" w:rsidRDefault="00DE3C06" w:rsidP="00DE3C06">
      <w:pPr>
        <w:spacing w:after="0" w:line="276" w:lineRule="auto"/>
        <w:jc w:val="both"/>
        <w:rPr>
          <w:rFonts w:cs="Tahoma"/>
          <w:color w:val="000000" w:themeColor="text1"/>
          <w:sz w:val="22"/>
          <w:szCs w:val="22"/>
        </w:rPr>
      </w:pPr>
      <w:r w:rsidRPr="000C5171">
        <w:rPr>
          <w:rFonts w:cs="Tahoma"/>
          <w:color w:val="000000" w:themeColor="text1"/>
          <w:sz w:val="22"/>
          <w:szCs w:val="22"/>
        </w:rPr>
        <w:lastRenderedPageBreak/>
        <w:t xml:space="preserve">Como resultado de las situaciones anteriormente descritas, para la vigencia 2026 la ART enfrenta una disponibilidad insuficiente de recursos de inversión para financiar la continuidad de los proyectos priorizados en los territorios PDET, atender las necesidades de fortalecimiento institucional y sostener el despliegue operativo requerido para el cumplimiento de su misión. Esta situación impacta la capacidad de la Entidad para avanzar en la implementación de los Programas de Desarrollo con Enfoque Territorial y en el cumplimiento de los compromisos adquiridos con las comunidades. </w:t>
      </w:r>
    </w:p>
    <w:p w14:paraId="22A75EC8" w14:textId="77777777" w:rsidR="00DE3C06" w:rsidRPr="000C5171" w:rsidRDefault="00DE3C06" w:rsidP="00DE3C06">
      <w:pPr>
        <w:spacing w:after="0" w:line="276" w:lineRule="auto"/>
        <w:jc w:val="both"/>
        <w:rPr>
          <w:rFonts w:cs="Tahoma"/>
          <w:sz w:val="22"/>
          <w:szCs w:val="22"/>
        </w:rPr>
      </w:pPr>
    </w:p>
    <w:p w14:paraId="09EBE491" w14:textId="77777777" w:rsidR="00DE3C06" w:rsidRPr="000C5171" w:rsidRDefault="00DE3C06" w:rsidP="00DE3C06">
      <w:pPr>
        <w:spacing w:line="276" w:lineRule="auto"/>
        <w:jc w:val="both"/>
        <w:rPr>
          <w:rFonts w:cs="Tahoma"/>
          <w:sz w:val="22"/>
          <w:szCs w:val="22"/>
        </w:rPr>
      </w:pPr>
      <w:r w:rsidRPr="000C5171">
        <w:rPr>
          <w:rFonts w:cs="Tahoma"/>
          <w:sz w:val="22"/>
          <w:szCs w:val="22"/>
        </w:rPr>
        <w:t xml:space="preserve">Por otra parte, se realiza el análisis comparativo entre el techo presupuestal definido en el Plan Operativo (PPO) 2023–2026 y los recursos efectivamente asignados a las líneas misionales, en relación con el cumplimiento de las metas establecidas vs la asignación presupuestal de la Subcuenta FCP. </w:t>
      </w:r>
    </w:p>
    <w:p w14:paraId="39AC5436" w14:textId="77777777" w:rsidR="00DE3C06" w:rsidRPr="000C5171" w:rsidRDefault="00DE3C06" w:rsidP="00DE3C06">
      <w:pPr>
        <w:spacing w:line="276" w:lineRule="auto"/>
        <w:jc w:val="both"/>
        <w:rPr>
          <w:rFonts w:eastAsia="Arial Narrow" w:cs="Tahoma"/>
          <w:sz w:val="22"/>
          <w:szCs w:val="22"/>
        </w:rPr>
      </w:pPr>
      <w:r w:rsidRPr="000C5171">
        <w:rPr>
          <w:rFonts w:cs="Tahoma"/>
          <w:sz w:val="22"/>
          <w:szCs w:val="22"/>
        </w:rPr>
        <w:t xml:space="preserve">Se incluye el </w:t>
      </w:r>
      <w:r w:rsidRPr="000C5171">
        <w:rPr>
          <w:rFonts w:cs="Tahoma"/>
          <w:b/>
          <w:bCs/>
          <w:sz w:val="22"/>
          <w:szCs w:val="22"/>
        </w:rPr>
        <w:t xml:space="preserve">ANEXO 17. Otras Fuentes: RECURSOS SUBCUENTA FONDO COLOMBIA EN PAZ (PDET-FCP) </w:t>
      </w:r>
      <w:r w:rsidRPr="000C5171">
        <w:rPr>
          <w:rFonts w:cs="Tahoma"/>
          <w:sz w:val="22"/>
          <w:szCs w:val="22"/>
        </w:rPr>
        <w:t xml:space="preserve">que contiene el Plan de presupuesto 2023-2026 del FCP, indicando techo-recursos asignados para líneas misionales vs metas, con </w:t>
      </w:r>
      <w:r w:rsidRPr="000C5171">
        <w:rPr>
          <w:rFonts w:eastAsia="Arial Narrow" w:cs="Tahoma"/>
          <w:sz w:val="22"/>
          <w:szCs w:val="22"/>
        </w:rPr>
        <w:t>corte 31 de marzo de 2026.</w:t>
      </w:r>
    </w:p>
    <w:p w14:paraId="232764AD" w14:textId="77777777" w:rsidR="00DE3C06" w:rsidRPr="000C5171" w:rsidRDefault="00DE3C06" w:rsidP="00DE3C06">
      <w:pPr>
        <w:spacing w:line="276" w:lineRule="auto"/>
        <w:jc w:val="both"/>
        <w:rPr>
          <w:rFonts w:cs="Tahoma"/>
          <w:sz w:val="22"/>
          <w:szCs w:val="22"/>
        </w:rPr>
      </w:pPr>
      <w:r w:rsidRPr="000C5171">
        <w:rPr>
          <w:rFonts w:cs="Tahoma"/>
          <w:sz w:val="22"/>
          <w:szCs w:val="22"/>
        </w:rPr>
        <w:t>A</w:t>
      </w:r>
      <w:r w:rsidRPr="000C5171">
        <w:rPr>
          <w:rFonts w:eastAsia="Arial" w:cs="Tahoma"/>
          <w:sz w:val="22"/>
          <w:szCs w:val="22"/>
        </w:rPr>
        <w:t xml:space="preserve"> continuación, se presenta el análisis del cumplimiento de metas por </w:t>
      </w:r>
      <w:proofErr w:type="gramStart"/>
      <w:r w:rsidRPr="000C5171">
        <w:rPr>
          <w:rFonts w:eastAsia="Arial" w:cs="Tahoma"/>
          <w:sz w:val="22"/>
          <w:szCs w:val="22"/>
        </w:rPr>
        <w:t>línea</w:t>
      </w:r>
      <w:proofErr w:type="gramEnd"/>
      <w:r w:rsidRPr="000C5171">
        <w:rPr>
          <w:rFonts w:eastAsia="Arial" w:cs="Tahoma"/>
          <w:sz w:val="22"/>
          <w:szCs w:val="22"/>
        </w:rPr>
        <w:t xml:space="preserve"> de acción del PPO 2023–2026 del FCP, considerando el nivel de avance alcanzado a marzo de 2026 en relación con los recursos asignados. Este análisis permite evidenciar el desempeño de cada línea de acción de la subcuenta, así como identificar aquellas con avances y aquellas que presentan rezagos en su ejecución:</w:t>
      </w:r>
    </w:p>
    <w:p w14:paraId="394DF825" w14:textId="77777777" w:rsidR="00DE3C06" w:rsidRPr="000C5171" w:rsidRDefault="00DE3C06" w:rsidP="00DE3C06">
      <w:pPr>
        <w:spacing w:line="276" w:lineRule="auto"/>
        <w:ind w:left="567"/>
        <w:jc w:val="both"/>
        <w:rPr>
          <w:rFonts w:cs="Tahoma"/>
          <w:sz w:val="22"/>
          <w:szCs w:val="22"/>
        </w:rPr>
      </w:pPr>
      <w:r w:rsidRPr="000C5171">
        <w:rPr>
          <w:rFonts w:cs="Tahoma"/>
          <w:sz w:val="22"/>
          <w:szCs w:val="22"/>
        </w:rPr>
        <w:t>Estructuración y Ejecución:</w:t>
      </w:r>
    </w:p>
    <w:p w14:paraId="7F357F3A" w14:textId="77777777" w:rsidR="00DE3C06" w:rsidRPr="000C5171" w:rsidRDefault="00DE3C06" w:rsidP="00DE3C06">
      <w:pPr>
        <w:spacing w:line="276" w:lineRule="auto"/>
        <w:ind w:left="709"/>
        <w:jc w:val="both"/>
        <w:rPr>
          <w:rFonts w:cs="Tahoma"/>
          <w:sz w:val="22"/>
          <w:szCs w:val="22"/>
        </w:rPr>
      </w:pPr>
      <w:r w:rsidRPr="000C5171">
        <w:rPr>
          <w:rFonts w:cs="Tahoma"/>
          <w:sz w:val="22"/>
          <w:szCs w:val="22"/>
        </w:rPr>
        <w:t xml:space="preserve">De acuerdo con el Anexo 17, la línea de acción de Estructuración Ejecución presenta una asignación de recursos del 35 % frente al techo presupuestal proyectado; sin embargo, pese a esta limitación, </w:t>
      </w:r>
      <w:r w:rsidRPr="000C5171">
        <w:rPr>
          <w:rFonts w:cs="Arial"/>
          <w:sz w:val="22"/>
          <w:szCs w:val="22"/>
        </w:rPr>
        <w:t>s</w:t>
      </w:r>
      <w:r w:rsidRPr="000C5171">
        <w:rPr>
          <w:rFonts w:cs="Tahoma"/>
          <w:sz w:val="22"/>
          <w:szCs w:val="22"/>
        </w:rPr>
        <w:t>e evidencia un desempeño favorable en los indicadores de proyectos PDET implementados y proyectos de los PATR con enfoque de género o étnico en ejecución los cuales presentan cumplimientos acumulados del 113% y 115%, respectivamente. No obstante, cabe mencionar que se han adelantado mesas de trabajo para conciliar la metodología de reporte al DNP. Mientras que en la vigencia 2023 fue aprobado el reporte de proyectos étnicos iniciados, soportado mediante actas de inicio, durante 2025 el DAPRE solicitó ajustar el reporte para contabilizar únicamente proyectos terminados, soportados con actas de terminación. Esta modificación generó una reducción en el avance acumulado reportado; que a junio 2026 es 68% pese a esto, se proyecta el cumplimiento de la meta al cierre de la vigencia 2026 mediante la finalización de proyectos étnicos actualmente en ejecución.</w:t>
      </w:r>
    </w:p>
    <w:p w14:paraId="425EC177" w14:textId="77777777" w:rsidR="00DE3C06" w:rsidRPr="000C5171" w:rsidRDefault="00DE3C06" w:rsidP="00DE3C06">
      <w:pPr>
        <w:spacing w:line="276" w:lineRule="auto"/>
        <w:ind w:left="709"/>
        <w:jc w:val="both"/>
        <w:rPr>
          <w:rFonts w:cs="Tahoma"/>
          <w:sz w:val="22"/>
          <w:szCs w:val="22"/>
        </w:rPr>
      </w:pPr>
      <w:r w:rsidRPr="000C5171">
        <w:rPr>
          <w:rFonts w:cs="Tahoma"/>
          <w:sz w:val="22"/>
          <w:szCs w:val="22"/>
        </w:rPr>
        <w:t xml:space="preserve">Por su parte, la meta de proyectos integradores estructurados presenta un avance del 66 % (21 de 32), mientras que la meta de Proyectos Integradores para la Transformación </w:t>
      </w:r>
      <w:r w:rsidRPr="000C5171">
        <w:rPr>
          <w:rFonts w:cs="Tahoma"/>
          <w:sz w:val="22"/>
          <w:szCs w:val="22"/>
        </w:rPr>
        <w:lastRenderedPageBreak/>
        <w:t>Regional en ejecución alcanza un 58 % (14 de 24), evidenciando rezagos en su implementación.</w:t>
      </w:r>
    </w:p>
    <w:p w14:paraId="4830D390" w14:textId="77777777" w:rsidR="00DE3C06" w:rsidRPr="000C5171" w:rsidRDefault="00DE3C06" w:rsidP="00DE3C06">
      <w:pPr>
        <w:spacing w:line="276" w:lineRule="auto"/>
        <w:ind w:left="567"/>
        <w:jc w:val="both"/>
        <w:rPr>
          <w:rFonts w:cs="Tahoma"/>
          <w:sz w:val="22"/>
          <w:szCs w:val="22"/>
        </w:rPr>
      </w:pPr>
      <w:r w:rsidRPr="000C5171">
        <w:rPr>
          <w:rFonts w:cs="Tahoma"/>
          <w:sz w:val="22"/>
          <w:szCs w:val="22"/>
        </w:rPr>
        <w:t>Estrategia territorio–nación territorio:</w:t>
      </w:r>
    </w:p>
    <w:p w14:paraId="14311348" w14:textId="77777777" w:rsidR="00DE3C06" w:rsidRPr="000C5171" w:rsidRDefault="00DE3C06" w:rsidP="00DE3C06">
      <w:pPr>
        <w:spacing w:line="276" w:lineRule="auto"/>
        <w:ind w:left="567"/>
        <w:jc w:val="both"/>
        <w:rPr>
          <w:rFonts w:cs="Tahoma"/>
          <w:sz w:val="22"/>
          <w:szCs w:val="22"/>
        </w:rPr>
      </w:pPr>
      <w:r w:rsidRPr="000C5171">
        <w:rPr>
          <w:rFonts w:cs="Tahoma"/>
          <w:sz w:val="22"/>
          <w:szCs w:val="22"/>
        </w:rPr>
        <w:t>Se evidencia una asignación de recursos del 28% frente al techo presupuestal. En cuanto al cumplimiento, la meta de iniciativas PATR con ruta de implementación activada (3.300) presenta un avance del 66.2% (21.861), la meta de iniciativas estratégicas PATR con ruta de implementación activada (4.682) alcanza un 78.0% (3.654), y la meta de iniciativas propias étnicas con ruta de implementación activada (8.580) registra un 54.6% (4.686), lo que refleja avances parciales.</w:t>
      </w:r>
    </w:p>
    <w:p w14:paraId="39BD6E13" w14:textId="77777777" w:rsidR="00DE3C06" w:rsidRPr="000C5171" w:rsidRDefault="00DE3C06" w:rsidP="00DE3C06">
      <w:pPr>
        <w:spacing w:line="276" w:lineRule="auto"/>
        <w:ind w:left="567"/>
        <w:jc w:val="both"/>
        <w:rPr>
          <w:rFonts w:cs="Tahoma"/>
          <w:sz w:val="22"/>
          <w:szCs w:val="22"/>
        </w:rPr>
      </w:pPr>
    </w:p>
    <w:p w14:paraId="33349C3B" w14:textId="77777777" w:rsidR="00DE3C06" w:rsidRPr="000C5171" w:rsidRDefault="00DE3C06" w:rsidP="00DE3C06">
      <w:pPr>
        <w:spacing w:line="276" w:lineRule="auto"/>
        <w:ind w:left="567"/>
        <w:jc w:val="both"/>
        <w:rPr>
          <w:rFonts w:cs="Tahoma"/>
          <w:sz w:val="22"/>
          <w:szCs w:val="22"/>
        </w:rPr>
      </w:pPr>
      <w:r w:rsidRPr="000C5171">
        <w:rPr>
          <w:rFonts w:cs="Tahoma"/>
          <w:sz w:val="22"/>
          <w:szCs w:val="22"/>
        </w:rPr>
        <w:t>Información y Prospectiva:</w:t>
      </w:r>
    </w:p>
    <w:p w14:paraId="045A484C" w14:textId="77777777" w:rsidR="00DE3C06" w:rsidRPr="000C5171" w:rsidRDefault="00DE3C06" w:rsidP="00DE3C06">
      <w:pPr>
        <w:spacing w:line="276" w:lineRule="auto"/>
        <w:ind w:left="567"/>
        <w:jc w:val="both"/>
        <w:rPr>
          <w:rFonts w:eastAsia="Arial" w:cs="Tahoma"/>
          <w:b/>
          <w:bCs/>
          <w:sz w:val="22"/>
          <w:szCs w:val="22"/>
        </w:rPr>
      </w:pPr>
      <w:r w:rsidRPr="000C5171">
        <w:rPr>
          <w:rFonts w:cs="Tahoma"/>
          <w:sz w:val="22"/>
          <w:szCs w:val="22"/>
        </w:rPr>
        <w:t>Se evidencia una asignación de recursos del 47% frente al techo presupuestal, con un cumplimiento del 100% en la meta de servicios de información implementados</w:t>
      </w:r>
    </w:p>
    <w:p w14:paraId="16943C51" w14:textId="77777777" w:rsidR="00DE3C06" w:rsidRPr="000C5171" w:rsidRDefault="00DE3C06" w:rsidP="00DE3C06">
      <w:pPr>
        <w:spacing w:line="276" w:lineRule="auto"/>
        <w:ind w:left="567"/>
        <w:jc w:val="both"/>
        <w:rPr>
          <w:rFonts w:eastAsia="Arial" w:cs="Tahoma"/>
          <w:b/>
          <w:bCs/>
          <w:sz w:val="22"/>
          <w:szCs w:val="22"/>
        </w:rPr>
      </w:pPr>
    </w:p>
    <w:p w14:paraId="4FDAA573" w14:textId="77777777" w:rsidR="00DE3C06" w:rsidRPr="000C5171" w:rsidRDefault="00DE3C06" w:rsidP="00DE3C06">
      <w:pPr>
        <w:spacing w:line="276" w:lineRule="auto"/>
        <w:ind w:left="567"/>
        <w:jc w:val="both"/>
        <w:rPr>
          <w:rFonts w:cs="Tahoma"/>
          <w:sz w:val="22"/>
          <w:szCs w:val="22"/>
        </w:rPr>
      </w:pPr>
      <w:r w:rsidRPr="000C5171">
        <w:rPr>
          <w:rFonts w:eastAsiaTheme="minorEastAsia" w:cs="Tahoma"/>
          <w:sz w:val="22"/>
          <w:szCs w:val="22"/>
        </w:rPr>
        <w:t xml:space="preserve">Reparación temprana con enfoque territorial: </w:t>
      </w:r>
    </w:p>
    <w:p w14:paraId="120A0532" w14:textId="77777777" w:rsidR="00DE3C06" w:rsidRPr="000C5171" w:rsidRDefault="00DE3C06" w:rsidP="00DE3C06">
      <w:pPr>
        <w:ind w:left="567"/>
        <w:jc w:val="both"/>
        <w:rPr>
          <w:rFonts w:cs="Tahoma"/>
          <w:sz w:val="22"/>
          <w:szCs w:val="22"/>
        </w:rPr>
      </w:pPr>
      <w:r w:rsidRPr="000C5171">
        <w:rPr>
          <w:rFonts w:cs="Tahoma"/>
          <w:sz w:val="22"/>
          <w:szCs w:val="22"/>
        </w:rPr>
        <w:t>De acuerdo con el Anexo 17, la línea de acción Reparación temprana con enfoque territorial presenta una asignación de recursos equivalente al 33 % del techo presupuestal proyectado, recursos que fueron incorporados en mayo de 2025. A junio de 2026, la meta de asistencias técnicas alcanza un avance del 44 % (66 de 150) y la meta de personas capacitadas mediante educación informal registra un avance del 12 % (943 de 7.752). En cuanto a los proyectos de autonomía económica, la meta de implementación presenta un avance del 19 % (4 de 21). Sin embargo, los recursos disponibles permiten financiar la implementación de 11 proyectos, mientras que los 21 proyectos contemplados en la meta serán identificados, estructurados o actualizados, con el fin de dejarlos preparados para su posterior gestión de recursos. Finalmente, la meta de tres documentos de investigación elaborados no presenta avance, debido a que no se asignaron recursos para su desarrollo.</w:t>
      </w:r>
    </w:p>
    <w:p w14:paraId="25760F88" w14:textId="77777777" w:rsidR="00DE3C06" w:rsidRPr="000C5171" w:rsidRDefault="00DE3C06" w:rsidP="00DE3C06">
      <w:pPr>
        <w:pStyle w:val="Ttulo1"/>
        <w:spacing w:line="276" w:lineRule="auto"/>
        <w:ind w:firstLine="708"/>
        <w:rPr>
          <w:rFonts w:cs="Tahoma"/>
          <w:color w:val="0070C0"/>
        </w:rPr>
      </w:pPr>
    </w:p>
    <w:p w14:paraId="3D3E8902" w14:textId="77777777" w:rsidR="00DE3C06" w:rsidRPr="000C5171" w:rsidRDefault="00DE3C06" w:rsidP="00DE3C06">
      <w:pPr>
        <w:pStyle w:val="Ttulo1"/>
        <w:spacing w:line="276" w:lineRule="auto"/>
        <w:rPr>
          <w:rFonts w:cs="Tahoma"/>
          <w:color w:val="0070C0"/>
        </w:rPr>
      </w:pPr>
      <w:bookmarkStart w:id="27" w:name="_Toc234168092"/>
      <w:r w:rsidRPr="000C5171">
        <w:rPr>
          <w:rFonts w:cs="Tahoma"/>
          <w:color w:val="0070C0"/>
        </w:rPr>
        <w:t>7.5 Bienes muebles e inmuebles</w:t>
      </w:r>
      <w:bookmarkEnd w:id="27"/>
    </w:p>
    <w:p w14:paraId="231AD8D6" w14:textId="77777777" w:rsidR="00DE3C06" w:rsidRPr="000C5171" w:rsidRDefault="00DE3C06" w:rsidP="00DE3C06">
      <w:pPr>
        <w:tabs>
          <w:tab w:val="left" w:pos="910"/>
        </w:tabs>
        <w:spacing w:line="276" w:lineRule="auto"/>
        <w:rPr>
          <w:rFonts w:cs="Tahoma"/>
          <w:sz w:val="22"/>
          <w:szCs w:val="22"/>
        </w:rPr>
      </w:pPr>
      <w:r w:rsidRPr="000C5171">
        <w:rPr>
          <w:rFonts w:cs="Tahoma"/>
          <w:sz w:val="22"/>
          <w:szCs w:val="22"/>
        </w:rPr>
        <w:t xml:space="preserve">Se incluye el inventario de bienes muebles por vigencia en el </w:t>
      </w:r>
      <w:r w:rsidRPr="000C5171">
        <w:rPr>
          <w:rFonts w:cs="Tahoma"/>
          <w:b/>
          <w:bCs/>
          <w:sz w:val="22"/>
          <w:szCs w:val="22"/>
        </w:rPr>
        <w:t>ANEXO 18</w:t>
      </w:r>
      <w:r w:rsidRPr="000C5171">
        <w:rPr>
          <w:rFonts w:cs="Tahoma"/>
          <w:sz w:val="22"/>
          <w:szCs w:val="22"/>
        </w:rPr>
        <w:t>. BIENES INMUEBLES de Excel para facilitar su consulta.</w:t>
      </w:r>
    </w:p>
    <w:p w14:paraId="57FD4BAE" w14:textId="77777777" w:rsidR="00DE3C06" w:rsidRPr="000C5171" w:rsidRDefault="00DE3C06" w:rsidP="00DE3C06">
      <w:pPr>
        <w:spacing w:after="0" w:line="276" w:lineRule="auto"/>
        <w:rPr>
          <w:rFonts w:cs="Tahoma"/>
          <w:sz w:val="22"/>
          <w:szCs w:val="22"/>
        </w:rPr>
      </w:pPr>
    </w:p>
    <w:p w14:paraId="2B4D260F" w14:textId="77777777" w:rsidR="00DE3C06" w:rsidRPr="000C5171" w:rsidRDefault="00DE3C06" w:rsidP="00DE3C06">
      <w:pPr>
        <w:spacing w:line="276" w:lineRule="auto"/>
        <w:jc w:val="both"/>
        <w:rPr>
          <w:rStyle w:val="Ttulo1Car"/>
          <w:rFonts w:cs="Tahoma"/>
          <w:color w:val="0070C0"/>
        </w:rPr>
      </w:pPr>
      <w:bookmarkStart w:id="28" w:name="_Toc228621947"/>
      <w:bookmarkStart w:id="29" w:name="_Toc234168093"/>
      <w:r w:rsidRPr="000C5171">
        <w:rPr>
          <w:rStyle w:val="Ttulo1Car"/>
          <w:rFonts w:cs="Tahoma"/>
          <w:color w:val="0070C0"/>
        </w:rPr>
        <w:t>7.6 Relación de obras inconclusas</w:t>
      </w:r>
      <w:bookmarkEnd w:id="28"/>
      <w:bookmarkEnd w:id="29"/>
      <w:r w:rsidRPr="000C5171">
        <w:rPr>
          <w:rStyle w:val="Ttulo1Car"/>
          <w:rFonts w:cs="Tahoma"/>
          <w:color w:val="0070C0"/>
        </w:rPr>
        <w:t xml:space="preserve"> </w:t>
      </w:r>
    </w:p>
    <w:p w14:paraId="49B9CABE" w14:textId="77777777" w:rsidR="00DE3C06" w:rsidRPr="000C5171" w:rsidRDefault="00DE3C06" w:rsidP="00DE3C06">
      <w:pPr>
        <w:spacing w:line="276" w:lineRule="auto"/>
        <w:jc w:val="both"/>
        <w:rPr>
          <w:rFonts w:cs="Tahoma"/>
          <w:sz w:val="22"/>
          <w:szCs w:val="22"/>
        </w:rPr>
      </w:pPr>
      <w:r w:rsidRPr="000C5171">
        <w:rPr>
          <w:rFonts w:cs="Tahoma"/>
          <w:sz w:val="22"/>
          <w:szCs w:val="22"/>
        </w:rPr>
        <w:t>Este ítem no aplica a la ART-PDET.</w:t>
      </w:r>
    </w:p>
    <w:p w14:paraId="77A3A4D3" w14:textId="77777777" w:rsidR="00DE3C06" w:rsidRPr="000C5171" w:rsidRDefault="00DE3C06" w:rsidP="00DE3C06">
      <w:pPr>
        <w:spacing w:after="0" w:line="276" w:lineRule="auto"/>
        <w:ind w:left="708"/>
        <w:jc w:val="both"/>
        <w:rPr>
          <w:rFonts w:cs="Tahoma"/>
          <w:sz w:val="22"/>
          <w:szCs w:val="22"/>
        </w:rPr>
      </w:pPr>
    </w:p>
    <w:p w14:paraId="5BF72FA2" w14:textId="77777777" w:rsidR="00DE3C06" w:rsidRPr="000C5171" w:rsidRDefault="00DE3C06" w:rsidP="00DE3C06">
      <w:pPr>
        <w:spacing w:line="276" w:lineRule="auto"/>
        <w:rPr>
          <w:rStyle w:val="Ttulo1Car"/>
          <w:rFonts w:cs="Tahoma"/>
          <w:color w:val="0070C0"/>
        </w:rPr>
      </w:pPr>
      <w:bookmarkStart w:id="30" w:name="_Toc228621948"/>
      <w:bookmarkStart w:id="31" w:name="_Toc234168094"/>
      <w:r w:rsidRPr="000C5171">
        <w:rPr>
          <w:rStyle w:val="Ttulo1Car"/>
          <w:rFonts w:cs="Tahoma"/>
          <w:color w:val="0070C0"/>
        </w:rPr>
        <w:t>7.7 Talento humano</w:t>
      </w:r>
      <w:bookmarkEnd w:id="30"/>
      <w:bookmarkEnd w:id="31"/>
      <w:r w:rsidRPr="000C5171">
        <w:rPr>
          <w:rStyle w:val="Ttulo1Car"/>
          <w:rFonts w:cs="Tahoma"/>
          <w:color w:val="0070C0"/>
        </w:rPr>
        <w:t xml:space="preserve"> </w:t>
      </w:r>
    </w:p>
    <w:p w14:paraId="34EB32CB" w14:textId="77777777" w:rsidR="00DE3C06" w:rsidRPr="000C5171" w:rsidRDefault="00DE3C06" w:rsidP="00DE3C06">
      <w:pPr>
        <w:spacing w:line="276" w:lineRule="auto"/>
        <w:rPr>
          <w:rFonts w:cs="Tahoma"/>
          <w:sz w:val="22"/>
          <w:szCs w:val="22"/>
        </w:rPr>
      </w:pPr>
      <w:r w:rsidRPr="000C5171">
        <w:rPr>
          <w:rFonts w:cs="Tahoma"/>
          <w:sz w:val="22"/>
          <w:szCs w:val="22"/>
        </w:rPr>
        <w:t>A continuación, se reporta el estado de la planta de personal acorde a los ítems solicitados:</w:t>
      </w:r>
    </w:p>
    <w:p w14:paraId="3E086086" w14:textId="77777777" w:rsidR="00DE3C06" w:rsidRPr="000C5171" w:rsidRDefault="00DE3C06" w:rsidP="00DE3C06">
      <w:pPr>
        <w:spacing w:line="276" w:lineRule="auto"/>
        <w:jc w:val="center"/>
        <w:rPr>
          <w:rFonts w:cs="Arial"/>
          <w:sz w:val="22"/>
          <w:szCs w:val="22"/>
        </w:rPr>
      </w:pPr>
      <w:r w:rsidRPr="000C5171">
        <w:rPr>
          <w:rFonts w:cs="Arial"/>
          <w:b/>
          <w:bCs/>
          <w:sz w:val="22"/>
          <w:szCs w:val="22"/>
        </w:rPr>
        <w:t xml:space="preserve">Tabla 13. </w:t>
      </w:r>
      <w:r w:rsidRPr="000C5171">
        <w:rPr>
          <w:rFonts w:cs="Arial"/>
          <w:sz w:val="22"/>
          <w:szCs w:val="22"/>
        </w:rPr>
        <w:t>Estado de la Planta de Personal ART</w:t>
      </w:r>
    </w:p>
    <w:tbl>
      <w:tblPr>
        <w:tblStyle w:val="Tablaconcuadrcula6concolores-nfasis33"/>
        <w:tblW w:w="9368" w:type="dxa"/>
        <w:tblInd w:w="0"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3393"/>
        <w:gridCol w:w="1948"/>
        <w:gridCol w:w="1785"/>
        <w:gridCol w:w="2242"/>
      </w:tblGrid>
      <w:tr w:rsidR="00DE3C06" w:rsidRPr="00E51992" w14:paraId="12C6E2AE" w14:textId="77777777" w:rsidTr="008A49D0">
        <w:trPr>
          <w:cnfStyle w:val="100000000000" w:firstRow="1" w:lastRow="0" w:firstColumn="0" w:lastColumn="0" w:oddVBand="0" w:evenVBand="0" w:oddHBand="0"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3393" w:type="dxa"/>
            <w:tcBorders>
              <w:top w:val="single" w:sz="4" w:space="0" w:color="auto"/>
              <w:left w:val="single" w:sz="4" w:space="0" w:color="auto"/>
              <w:bottom w:val="single" w:sz="12" w:space="0" w:color="C9C9C9"/>
              <w:right w:val="single" w:sz="4" w:space="0" w:color="47D459" w:themeColor="accent3" w:themeTint="99"/>
            </w:tcBorders>
            <w:tcMar>
              <w:top w:w="0" w:type="dxa"/>
              <w:left w:w="90" w:type="dxa"/>
              <w:bottom w:w="0" w:type="dxa"/>
              <w:right w:w="90" w:type="dxa"/>
            </w:tcMar>
            <w:hideMark/>
          </w:tcPr>
          <w:p w14:paraId="626BD928" w14:textId="77777777" w:rsidR="00DE3C06" w:rsidRPr="00E51992" w:rsidRDefault="00DE3C06" w:rsidP="008A49D0">
            <w:pPr>
              <w:spacing w:line="276" w:lineRule="auto"/>
              <w:rPr>
                <w:rFonts w:asciiTheme="minorHAnsi" w:hAnsiTheme="minorHAnsi" w:cs="Nunito"/>
                <w:color w:val="275317" w:themeColor="accent6" w:themeShade="80"/>
                <w:sz w:val="22"/>
                <w:szCs w:val="22"/>
              </w:rPr>
            </w:pPr>
            <w:r w:rsidRPr="00E51992">
              <w:rPr>
                <w:rFonts w:asciiTheme="minorHAnsi" w:hAnsiTheme="minorHAnsi"/>
                <w:color w:val="275317" w:themeColor="accent6" w:themeShade="80"/>
                <w:sz w:val="22"/>
                <w:szCs w:val="22"/>
                <w:lang w:val="es-CO"/>
              </w:rPr>
              <w:t>Concepto</w:t>
            </w:r>
          </w:p>
        </w:tc>
        <w:tc>
          <w:tcPr>
            <w:tcW w:w="1948" w:type="dxa"/>
            <w:tcBorders>
              <w:top w:val="single" w:sz="4" w:space="0" w:color="auto"/>
              <w:left w:val="single" w:sz="4" w:space="0" w:color="47D459" w:themeColor="accent3" w:themeTint="99"/>
              <w:bottom w:val="single" w:sz="12" w:space="0" w:color="C9C9C9"/>
              <w:right w:val="single" w:sz="4" w:space="0" w:color="47D459" w:themeColor="accent3" w:themeTint="99"/>
            </w:tcBorders>
            <w:tcMar>
              <w:top w:w="0" w:type="dxa"/>
              <w:left w:w="90" w:type="dxa"/>
              <w:bottom w:w="0" w:type="dxa"/>
              <w:right w:w="90" w:type="dxa"/>
            </w:tcMar>
            <w:hideMark/>
          </w:tcPr>
          <w:p w14:paraId="5E76C39F" w14:textId="77777777" w:rsidR="00DE3C06" w:rsidRPr="00E51992" w:rsidRDefault="00DE3C06" w:rsidP="008A49D0">
            <w:pPr>
              <w:spacing w:line="276"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Nunito"/>
                <w:color w:val="275317" w:themeColor="accent6" w:themeShade="80"/>
                <w:sz w:val="22"/>
                <w:szCs w:val="22"/>
              </w:rPr>
            </w:pPr>
            <w:r w:rsidRPr="00E51992">
              <w:rPr>
                <w:rFonts w:asciiTheme="minorHAnsi" w:hAnsiTheme="minorHAnsi"/>
                <w:color w:val="275317" w:themeColor="accent6" w:themeShade="80"/>
                <w:sz w:val="22"/>
                <w:szCs w:val="22"/>
                <w:lang w:val="es-CO"/>
              </w:rPr>
              <w:t>Número total de cargos de la planta</w:t>
            </w:r>
          </w:p>
        </w:tc>
        <w:tc>
          <w:tcPr>
            <w:tcW w:w="1785" w:type="dxa"/>
            <w:tcBorders>
              <w:top w:val="single" w:sz="4" w:space="0" w:color="auto"/>
              <w:left w:val="single" w:sz="4" w:space="0" w:color="47D459" w:themeColor="accent3" w:themeTint="99"/>
              <w:bottom w:val="single" w:sz="12" w:space="0" w:color="C9C9C9"/>
              <w:right w:val="single" w:sz="4" w:space="0" w:color="47D459" w:themeColor="accent3" w:themeTint="99"/>
            </w:tcBorders>
            <w:tcMar>
              <w:top w:w="0" w:type="dxa"/>
              <w:left w:w="90" w:type="dxa"/>
              <w:bottom w:w="0" w:type="dxa"/>
              <w:right w:w="90" w:type="dxa"/>
            </w:tcMar>
            <w:hideMark/>
          </w:tcPr>
          <w:p w14:paraId="0D3BA0C7" w14:textId="77777777" w:rsidR="00DE3C06" w:rsidRPr="00E51992" w:rsidRDefault="00DE3C06" w:rsidP="008A49D0">
            <w:pPr>
              <w:spacing w:line="276"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Nunito"/>
                <w:color w:val="275317" w:themeColor="accent6" w:themeShade="80"/>
                <w:sz w:val="22"/>
                <w:szCs w:val="22"/>
              </w:rPr>
            </w:pPr>
            <w:r w:rsidRPr="00E51992">
              <w:rPr>
                <w:rFonts w:asciiTheme="minorHAnsi" w:hAnsiTheme="minorHAnsi"/>
                <w:color w:val="275317" w:themeColor="accent6" w:themeShade="80"/>
                <w:sz w:val="22"/>
                <w:szCs w:val="22"/>
                <w:lang w:val="es-CO"/>
              </w:rPr>
              <w:t>Número de cargos provistos</w:t>
            </w:r>
          </w:p>
        </w:tc>
        <w:tc>
          <w:tcPr>
            <w:tcW w:w="2242" w:type="dxa"/>
            <w:tcBorders>
              <w:top w:val="single" w:sz="4" w:space="0" w:color="auto"/>
              <w:left w:val="single" w:sz="4" w:space="0" w:color="47D459" w:themeColor="accent3" w:themeTint="99"/>
              <w:bottom w:val="single" w:sz="12" w:space="0" w:color="C9C9C9"/>
              <w:right w:val="single" w:sz="4" w:space="0" w:color="auto"/>
            </w:tcBorders>
            <w:tcMar>
              <w:top w:w="0" w:type="dxa"/>
              <w:left w:w="90" w:type="dxa"/>
              <w:bottom w:w="0" w:type="dxa"/>
              <w:right w:w="90" w:type="dxa"/>
            </w:tcMar>
            <w:hideMark/>
          </w:tcPr>
          <w:p w14:paraId="4393A8FE" w14:textId="77777777" w:rsidR="00DE3C06" w:rsidRPr="00E51992" w:rsidRDefault="00DE3C06" w:rsidP="008A49D0">
            <w:pPr>
              <w:spacing w:line="276"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Nunito"/>
                <w:color w:val="275317" w:themeColor="accent6" w:themeShade="80"/>
                <w:sz w:val="22"/>
                <w:szCs w:val="22"/>
              </w:rPr>
            </w:pPr>
            <w:r w:rsidRPr="00E51992">
              <w:rPr>
                <w:rFonts w:asciiTheme="minorHAnsi" w:hAnsiTheme="minorHAnsi"/>
                <w:color w:val="275317" w:themeColor="accent6" w:themeShade="80"/>
                <w:sz w:val="22"/>
                <w:szCs w:val="22"/>
                <w:lang w:val="es-CO"/>
              </w:rPr>
              <w:t>Número de cargos vacantes</w:t>
            </w:r>
          </w:p>
        </w:tc>
      </w:tr>
      <w:tr w:rsidR="00DE3C06" w:rsidRPr="00E51992" w14:paraId="6CC1D92A" w14:textId="77777777" w:rsidTr="008A49D0">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9368" w:type="dxa"/>
            <w:gridSpan w:val="4"/>
            <w:tcBorders>
              <w:top w:val="single" w:sz="4" w:space="0" w:color="47D459" w:themeColor="accent3" w:themeTint="99"/>
              <w:left w:val="single" w:sz="4" w:space="0" w:color="auto"/>
              <w:bottom w:val="single" w:sz="4" w:space="0" w:color="47D459" w:themeColor="accent3" w:themeTint="99"/>
              <w:right w:val="single" w:sz="4" w:space="0" w:color="auto"/>
            </w:tcBorders>
            <w:tcMar>
              <w:top w:w="0" w:type="dxa"/>
              <w:left w:w="90" w:type="dxa"/>
              <w:bottom w:w="0" w:type="dxa"/>
              <w:right w:w="90" w:type="dxa"/>
            </w:tcMar>
            <w:hideMark/>
          </w:tcPr>
          <w:p w14:paraId="72F2EED8" w14:textId="77777777" w:rsidR="00DE3C06" w:rsidRPr="00E51992" w:rsidRDefault="00DE3C06" w:rsidP="008A49D0">
            <w:pPr>
              <w:spacing w:line="276" w:lineRule="auto"/>
              <w:rPr>
                <w:rFonts w:asciiTheme="minorHAnsi" w:hAnsiTheme="minorHAnsi" w:cs="Nunito"/>
                <w:color w:val="275317" w:themeColor="accent6" w:themeShade="80"/>
                <w:sz w:val="22"/>
                <w:szCs w:val="22"/>
              </w:rPr>
            </w:pPr>
            <w:r w:rsidRPr="00E51992">
              <w:rPr>
                <w:rFonts w:asciiTheme="minorHAnsi" w:hAnsiTheme="minorHAnsi"/>
                <w:color w:val="275317" w:themeColor="accent6" w:themeShade="80"/>
                <w:sz w:val="22"/>
                <w:szCs w:val="22"/>
                <w:lang w:val="es-CO"/>
              </w:rPr>
              <w:t>CARGOS DE LIBRE NOMBRAMIENTO Y REMOCIÓN</w:t>
            </w:r>
          </w:p>
        </w:tc>
      </w:tr>
      <w:tr w:rsidR="00DE3C06" w:rsidRPr="00E51992" w14:paraId="10ABA7A4" w14:textId="77777777" w:rsidTr="008A49D0">
        <w:trPr>
          <w:trHeight w:val="312"/>
        </w:trPr>
        <w:tc>
          <w:tcPr>
            <w:cnfStyle w:val="001000000000" w:firstRow="0" w:lastRow="0" w:firstColumn="1" w:lastColumn="0" w:oddVBand="0" w:evenVBand="0" w:oddHBand="0" w:evenHBand="0" w:firstRowFirstColumn="0" w:firstRowLastColumn="0" w:lastRowFirstColumn="0" w:lastRowLastColumn="0"/>
            <w:tcW w:w="3393" w:type="dxa"/>
            <w:tcBorders>
              <w:top w:val="single" w:sz="4" w:space="0" w:color="47D459" w:themeColor="accent3" w:themeTint="99"/>
              <w:left w:val="single" w:sz="4" w:space="0" w:color="auto"/>
              <w:bottom w:val="single" w:sz="4" w:space="0" w:color="47D459" w:themeColor="accent3" w:themeTint="99"/>
              <w:right w:val="single" w:sz="6" w:space="0" w:color="auto"/>
            </w:tcBorders>
            <w:tcMar>
              <w:top w:w="0" w:type="dxa"/>
              <w:left w:w="90" w:type="dxa"/>
              <w:bottom w:w="0" w:type="dxa"/>
              <w:right w:w="90" w:type="dxa"/>
            </w:tcMar>
            <w:hideMark/>
          </w:tcPr>
          <w:p w14:paraId="63B51478" w14:textId="77777777" w:rsidR="00DE3C06" w:rsidRPr="00E51992" w:rsidRDefault="00DE3C06" w:rsidP="008A49D0">
            <w:pPr>
              <w:spacing w:line="276" w:lineRule="auto"/>
              <w:rPr>
                <w:rFonts w:asciiTheme="minorHAnsi" w:hAnsiTheme="minorHAnsi"/>
                <w:color w:val="275317" w:themeColor="accent6" w:themeShade="80"/>
                <w:sz w:val="22"/>
                <w:szCs w:val="22"/>
                <w:lang w:val="es-CO"/>
              </w:rPr>
            </w:pPr>
            <w:r w:rsidRPr="00E51992">
              <w:rPr>
                <w:rFonts w:asciiTheme="minorHAnsi" w:hAnsiTheme="minorHAnsi"/>
                <w:color w:val="275317" w:themeColor="accent6" w:themeShade="80"/>
                <w:sz w:val="22"/>
                <w:szCs w:val="22"/>
                <w:lang w:val="es-CO"/>
              </w:rPr>
              <w:t>A la fecha de inicio de la gestión</w:t>
            </w:r>
          </w:p>
        </w:tc>
        <w:tc>
          <w:tcPr>
            <w:tcW w:w="1948" w:type="dxa"/>
            <w:tc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tcBorders>
            <w:tcMar>
              <w:top w:w="0" w:type="dxa"/>
              <w:left w:w="90" w:type="dxa"/>
              <w:bottom w:w="0" w:type="dxa"/>
              <w:right w:w="90" w:type="dxa"/>
            </w:tcMar>
          </w:tcPr>
          <w:p w14:paraId="34DF354F" w14:textId="77777777" w:rsidR="00DE3C06" w:rsidRPr="00E51992" w:rsidRDefault="00DE3C06" w:rsidP="008A49D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275317" w:themeColor="accent6" w:themeShade="80"/>
                <w:sz w:val="22"/>
                <w:szCs w:val="22"/>
                <w:lang w:val="es-CO"/>
              </w:rPr>
            </w:pPr>
          </w:p>
          <w:p w14:paraId="720CD8E2" w14:textId="77777777" w:rsidR="00DE3C06" w:rsidRPr="00E51992" w:rsidRDefault="00DE3C06" w:rsidP="008A49D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275317" w:themeColor="accent6" w:themeShade="80"/>
                <w:sz w:val="22"/>
                <w:szCs w:val="22"/>
                <w:lang w:val="es-CO"/>
              </w:rPr>
            </w:pPr>
            <w:r w:rsidRPr="00E51992">
              <w:rPr>
                <w:rFonts w:asciiTheme="minorHAnsi" w:hAnsiTheme="minorHAnsi"/>
                <w:color w:val="275317" w:themeColor="accent6" w:themeShade="80"/>
                <w:sz w:val="22"/>
                <w:szCs w:val="22"/>
                <w:lang w:val="es-CO"/>
              </w:rPr>
              <w:t>49</w:t>
            </w:r>
          </w:p>
        </w:tc>
        <w:tc>
          <w:tcPr>
            <w:tcW w:w="1785" w:type="dxa"/>
            <w:tc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tcBorders>
            <w:tcMar>
              <w:top w:w="0" w:type="dxa"/>
              <w:left w:w="90" w:type="dxa"/>
              <w:bottom w:w="0" w:type="dxa"/>
              <w:right w:w="90" w:type="dxa"/>
            </w:tcMar>
          </w:tcPr>
          <w:p w14:paraId="71E9575A" w14:textId="77777777" w:rsidR="00DE3C06" w:rsidRPr="00E51992" w:rsidRDefault="00DE3C06" w:rsidP="008A49D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275317" w:themeColor="accent6" w:themeShade="80"/>
                <w:sz w:val="22"/>
                <w:szCs w:val="22"/>
              </w:rPr>
            </w:pPr>
          </w:p>
          <w:p w14:paraId="1FC8FE46" w14:textId="77777777" w:rsidR="00DE3C06" w:rsidRPr="00E51992" w:rsidRDefault="00DE3C06" w:rsidP="008A49D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275317" w:themeColor="accent6" w:themeShade="80"/>
                <w:sz w:val="22"/>
                <w:szCs w:val="22"/>
              </w:rPr>
            </w:pPr>
            <w:r w:rsidRPr="00E51992">
              <w:rPr>
                <w:rFonts w:asciiTheme="minorHAnsi" w:hAnsiTheme="minorHAnsi"/>
                <w:color w:val="275317" w:themeColor="accent6" w:themeShade="80"/>
                <w:sz w:val="22"/>
                <w:szCs w:val="22"/>
              </w:rPr>
              <w:t>44</w:t>
            </w:r>
          </w:p>
        </w:tc>
        <w:tc>
          <w:tcPr>
            <w:tcW w:w="2242" w:type="dxa"/>
            <w:tcBorders>
              <w:top w:val="single" w:sz="4" w:space="0" w:color="47D459" w:themeColor="accent3" w:themeTint="99"/>
              <w:left w:val="single" w:sz="4" w:space="0" w:color="47D459" w:themeColor="accent3" w:themeTint="99"/>
              <w:bottom w:val="single" w:sz="4" w:space="0" w:color="47D459" w:themeColor="accent3" w:themeTint="99"/>
              <w:right w:val="single" w:sz="4" w:space="0" w:color="auto"/>
            </w:tcBorders>
            <w:tcMar>
              <w:top w:w="0" w:type="dxa"/>
              <w:left w:w="90" w:type="dxa"/>
              <w:bottom w:w="0" w:type="dxa"/>
              <w:right w:w="90" w:type="dxa"/>
            </w:tcMar>
          </w:tcPr>
          <w:p w14:paraId="7CCF9087" w14:textId="77777777" w:rsidR="00DE3C06" w:rsidRPr="00E51992" w:rsidRDefault="00DE3C06" w:rsidP="008A49D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275317" w:themeColor="accent6" w:themeShade="80"/>
                <w:sz w:val="22"/>
                <w:szCs w:val="22"/>
              </w:rPr>
            </w:pPr>
          </w:p>
          <w:p w14:paraId="41E887B9" w14:textId="77777777" w:rsidR="00DE3C06" w:rsidRPr="00E51992" w:rsidRDefault="00DE3C06" w:rsidP="008A49D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275317" w:themeColor="accent6" w:themeShade="80"/>
                <w:sz w:val="22"/>
                <w:szCs w:val="22"/>
              </w:rPr>
            </w:pPr>
            <w:r w:rsidRPr="00E51992">
              <w:rPr>
                <w:rFonts w:asciiTheme="minorHAnsi" w:hAnsiTheme="minorHAnsi"/>
                <w:color w:val="275317" w:themeColor="accent6" w:themeShade="80"/>
                <w:sz w:val="22"/>
                <w:szCs w:val="22"/>
              </w:rPr>
              <w:t>5</w:t>
            </w:r>
          </w:p>
        </w:tc>
      </w:tr>
      <w:tr w:rsidR="00DE3C06" w:rsidRPr="00E51992" w14:paraId="4DAFBC1F" w14:textId="77777777" w:rsidTr="008A49D0">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3393" w:type="dxa"/>
            <w:tcBorders>
              <w:top w:val="single" w:sz="4" w:space="0" w:color="47D459" w:themeColor="accent3" w:themeTint="99"/>
              <w:left w:val="single" w:sz="4" w:space="0" w:color="auto"/>
              <w:bottom w:val="single" w:sz="4" w:space="0" w:color="47D459" w:themeColor="accent3" w:themeTint="99"/>
              <w:right w:val="single" w:sz="4" w:space="0" w:color="47D459" w:themeColor="accent3" w:themeTint="99"/>
            </w:tcBorders>
            <w:tcMar>
              <w:top w:w="0" w:type="dxa"/>
              <w:left w:w="90" w:type="dxa"/>
              <w:bottom w:w="0" w:type="dxa"/>
              <w:right w:w="90" w:type="dxa"/>
            </w:tcMar>
            <w:hideMark/>
          </w:tcPr>
          <w:p w14:paraId="244AF37B" w14:textId="77777777" w:rsidR="00DE3C06" w:rsidRPr="00E51992" w:rsidRDefault="00DE3C06" w:rsidP="008A49D0">
            <w:pPr>
              <w:spacing w:line="276" w:lineRule="auto"/>
              <w:rPr>
                <w:rFonts w:asciiTheme="minorHAnsi" w:hAnsiTheme="minorHAnsi" w:cs="Nunito"/>
                <w:color w:val="275317" w:themeColor="accent6" w:themeShade="80"/>
                <w:sz w:val="22"/>
                <w:szCs w:val="22"/>
              </w:rPr>
            </w:pPr>
            <w:r w:rsidRPr="00E51992">
              <w:rPr>
                <w:rFonts w:asciiTheme="minorHAnsi" w:hAnsiTheme="minorHAnsi"/>
                <w:color w:val="275317" w:themeColor="accent6" w:themeShade="80"/>
                <w:sz w:val="22"/>
                <w:szCs w:val="22"/>
                <w:lang w:val="es-CO"/>
              </w:rPr>
              <w:t>A la fecha de finalización de gobierno</w:t>
            </w:r>
          </w:p>
        </w:tc>
        <w:tc>
          <w:tcPr>
            <w:tcW w:w="1948" w:type="dxa"/>
            <w:tc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tcBorders>
            <w:tcMar>
              <w:top w:w="0" w:type="dxa"/>
              <w:left w:w="90" w:type="dxa"/>
              <w:bottom w:w="0" w:type="dxa"/>
              <w:right w:w="90" w:type="dxa"/>
            </w:tcMar>
          </w:tcPr>
          <w:p w14:paraId="6A6B724C" w14:textId="77777777" w:rsidR="00DE3C06" w:rsidRPr="00E51992" w:rsidRDefault="00DE3C06" w:rsidP="008A49D0">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275317" w:themeColor="accent6" w:themeShade="80"/>
                <w:sz w:val="22"/>
                <w:szCs w:val="22"/>
              </w:rPr>
            </w:pPr>
          </w:p>
          <w:p w14:paraId="370CCBCA" w14:textId="77777777" w:rsidR="00DE3C06" w:rsidRPr="00E51992" w:rsidRDefault="00DE3C06" w:rsidP="008A49D0">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275317" w:themeColor="accent6" w:themeShade="80"/>
                <w:sz w:val="22"/>
                <w:szCs w:val="22"/>
              </w:rPr>
            </w:pPr>
            <w:r w:rsidRPr="00E51992">
              <w:rPr>
                <w:rFonts w:asciiTheme="minorHAnsi" w:hAnsiTheme="minorHAnsi"/>
                <w:color w:val="275317" w:themeColor="accent6" w:themeShade="80"/>
                <w:sz w:val="22"/>
                <w:szCs w:val="22"/>
              </w:rPr>
              <w:t>49</w:t>
            </w:r>
          </w:p>
        </w:tc>
        <w:tc>
          <w:tcPr>
            <w:tcW w:w="1785" w:type="dxa"/>
            <w:tc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tcBorders>
            <w:tcMar>
              <w:top w:w="0" w:type="dxa"/>
              <w:left w:w="90" w:type="dxa"/>
              <w:bottom w:w="0" w:type="dxa"/>
              <w:right w:w="90" w:type="dxa"/>
            </w:tcMar>
          </w:tcPr>
          <w:p w14:paraId="00F2D9BB" w14:textId="77777777" w:rsidR="00DE3C06" w:rsidRPr="00E51992" w:rsidRDefault="00DE3C06" w:rsidP="008A49D0">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275317" w:themeColor="accent6" w:themeShade="80"/>
                <w:sz w:val="22"/>
                <w:szCs w:val="22"/>
              </w:rPr>
            </w:pPr>
          </w:p>
          <w:p w14:paraId="7F978A23" w14:textId="77777777" w:rsidR="00DE3C06" w:rsidRPr="00E51992" w:rsidRDefault="00DE3C06" w:rsidP="008A49D0">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275317" w:themeColor="accent6" w:themeShade="80"/>
                <w:sz w:val="22"/>
                <w:szCs w:val="22"/>
              </w:rPr>
            </w:pPr>
            <w:r w:rsidRPr="00E51992">
              <w:rPr>
                <w:rFonts w:asciiTheme="minorHAnsi" w:hAnsiTheme="minorHAnsi"/>
                <w:color w:val="275317" w:themeColor="accent6" w:themeShade="80"/>
                <w:sz w:val="22"/>
                <w:szCs w:val="22"/>
              </w:rPr>
              <w:t>41</w:t>
            </w:r>
          </w:p>
        </w:tc>
        <w:tc>
          <w:tcPr>
            <w:tcW w:w="2242" w:type="dxa"/>
            <w:tcBorders>
              <w:top w:val="single" w:sz="4" w:space="0" w:color="47D459" w:themeColor="accent3" w:themeTint="99"/>
              <w:left w:val="single" w:sz="4" w:space="0" w:color="47D459" w:themeColor="accent3" w:themeTint="99"/>
              <w:bottom w:val="single" w:sz="4" w:space="0" w:color="47D459" w:themeColor="accent3" w:themeTint="99"/>
              <w:right w:val="single" w:sz="4" w:space="0" w:color="auto"/>
            </w:tcBorders>
            <w:tcMar>
              <w:top w:w="0" w:type="dxa"/>
              <w:left w:w="90" w:type="dxa"/>
              <w:bottom w:w="0" w:type="dxa"/>
              <w:right w:w="90" w:type="dxa"/>
            </w:tcMar>
          </w:tcPr>
          <w:p w14:paraId="739B4B30" w14:textId="77777777" w:rsidR="00DE3C06" w:rsidRPr="00E51992" w:rsidRDefault="00DE3C06" w:rsidP="008A49D0">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275317" w:themeColor="accent6" w:themeShade="80"/>
                <w:sz w:val="22"/>
                <w:szCs w:val="22"/>
              </w:rPr>
            </w:pPr>
          </w:p>
          <w:p w14:paraId="27A05A2A" w14:textId="77777777" w:rsidR="00DE3C06" w:rsidRPr="00E51992" w:rsidRDefault="00DE3C06" w:rsidP="008A49D0">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275317" w:themeColor="accent6" w:themeShade="80"/>
                <w:sz w:val="22"/>
                <w:szCs w:val="22"/>
              </w:rPr>
            </w:pPr>
            <w:r w:rsidRPr="00E51992">
              <w:rPr>
                <w:rFonts w:asciiTheme="minorHAnsi" w:hAnsiTheme="minorHAnsi"/>
                <w:color w:val="275317" w:themeColor="accent6" w:themeShade="80"/>
                <w:sz w:val="22"/>
                <w:szCs w:val="22"/>
              </w:rPr>
              <w:t>8</w:t>
            </w:r>
          </w:p>
        </w:tc>
      </w:tr>
      <w:tr w:rsidR="00DE3C06" w:rsidRPr="00E51992" w14:paraId="274C5CD5" w14:textId="77777777" w:rsidTr="008A49D0">
        <w:trPr>
          <w:trHeight w:val="312"/>
        </w:trPr>
        <w:tc>
          <w:tcPr>
            <w:cnfStyle w:val="001000000000" w:firstRow="0" w:lastRow="0" w:firstColumn="1" w:lastColumn="0" w:oddVBand="0" w:evenVBand="0" w:oddHBand="0" w:evenHBand="0" w:firstRowFirstColumn="0" w:firstRowLastColumn="0" w:lastRowFirstColumn="0" w:lastRowLastColumn="0"/>
            <w:tcW w:w="3393" w:type="dxa"/>
            <w:tcBorders>
              <w:top w:val="single" w:sz="4" w:space="0" w:color="47D459" w:themeColor="accent3" w:themeTint="99"/>
              <w:left w:val="single" w:sz="4" w:space="0" w:color="auto"/>
              <w:bottom w:val="single" w:sz="4" w:space="0" w:color="47D459" w:themeColor="accent3" w:themeTint="99"/>
              <w:right w:val="single" w:sz="4" w:space="0" w:color="47D459" w:themeColor="accent3" w:themeTint="99"/>
            </w:tcBorders>
            <w:tcMar>
              <w:top w:w="0" w:type="dxa"/>
              <w:left w:w="90" w:type="dxa"/>
              <w:bottom w:w="0" w:type="dxa"/>
              <w:right w:w="90" w:type="dxa"/>
            </w:tcMar>
            <w:hideMark/>
          </w:tcPr>
          <w:p w14:paraId="69D0DA4F" w14:textId="77777777" w:rsidR="00DE3C06" w:rsidRPr="00E51992" w:rsidRDefault="00DE3C06" w:rsidP="008A49D0">
            <w:pPr>
              <w:spacing w:line="276" w:lineRule="auto"/>
              <w:rPr>
                <w:rFonts w:asciiTheme="minorHAnsi" w:hAnsiTheme="minorHAnsi" w:cs="Nunito"/>
                <w:color w:val="275317" w:themeColor="accent6" w:themeShade="80"/>
                <w:sz w:val="22"/>
                <w:szCs w:val="22"/>
              </w:rPr>
            </w:pPr>
            <w:r w:rsidRPr="00E51992">
              <w:rPr>
                <w:rFonts w:asciiTheme="minorHAnsi" w:hAnsiTheme="minorHAnsi"/>
                <w:color w:val="275317" w:themeColor="accent6" w:themeShade="80"/>
                <w:sz w:val="22"/>
                <w:szCs w:val="22"/>
                <w:lang w:val="es-CO"/>
              </w:rPr>
              <w:t>Variación porcentual</w:t>
            </w:r>
          </w:p>
        </w:tc>
        <w:tc>
          <w:tcPr>
            <w:tcW w:w="1948" w:type="dxa"/>
            <w:tc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tcBorders>
            <w:tcMar>
              <w:top w:w="0" w:type="dxa"/>
              <w:left w:w="90" w:type="dxa"/>
              <w:bottom w:w="0" w:type="dxa"/>
              <w:right w:w="90" w:type="dxa"/>
            </w:tcMar>
            <w:hideMark/>
          </w:tcPr>
          <w:p w14:paraId="0C53FBDE" w14:textId="77777777" w:rsidR="00DE3C06" w:rsidRPr="00E51992" w:rsidRDefault="00DE3C06" w:rsidP="008A49D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275317" w:themeColor="accent6" w:themeShade="80"/>
                <w:sz w:val="22"/>
                <w:szCs w:val="22"/>
              </w:rPr>
            </w:pPr>
            <w:r w:rsidRPr="00E51992">
              <w:rPr>
                <w:rFonts w:asciiTheme="minorHAnsi" w:hAnsiTheme="minorHAnsi"/>
                <w:color w:val="275317" w:themeColor="accent6" w:themeShade="80"/>
                <w:sz w:val="22"/>
                <w:szCs w:val="22"/>
              </w:rPr>
              <w:t>1</w:t>
            </w:r>
          </w:p>
        </w:tc>
        <w:tc>
          <w:tcPr>
            <w:tcW w:w="1785" w:type="dxa"/>
            <w:tc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tcBorders>
            <w:tcMar>
              <w:top w:w="0" w:type="dxa"/>
              <w:left w:w="90" w:type="dxa"/>
              <w:bottom w:w="0" w:type="dxa"/>
              <w:right w:w="90" w:type="dxa"/>
            </w:tcMar>
            <w:hideMark/>
          </w:tcPr>
          <w:p w14:paraId="0CF22E19" w14:textId="77777777" w:rsidR="00DE3C06" w:rsidRPr="00E51992" w:rsidRDefault="00DE3C06" w:rsidP="008A49D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275317" w:themeColor="accent6" w:themeShade="80"/>
                <w:sz w:val="22"/>
                <w:szCs w:val="22"/>
              </w:rPr>
            </w:pPr>
            <w:r w:rsidRPr="00E51992">
              <w:rPr>
                <w:rFonts w:asciiTheme="minorHAnsi" w:hAnsiTheme="minorHAnsi"/>
                <w:color w:val="275317" w:themeColor="accent6" w:themeShade="80"/>
                <w:sz w:val="22"/>
                <w:szCs w:val="22"/>
              </w:rPr>
              <w:t>0.91</w:t>
            </w:r>
          </w:p>
        </w:tc>
        <w:tc>
          <w:tcPr>
            <w:tcW w:w="2242" w:type="dxa"/>
            <w:tcBorders>
              <w:top w:val="single" w:sz="4" w:space="0" w:color="47D459" w:themeColor="accent3" w:themeTint="99"/>
              <w:left w:val="single" w:sz="4" w:space="0" w:color="47D459" w:themeColor="accent3" w:themeTint="99"/>
              <w:bottom w:val="single" w:sz="4" w:space="0" w:color="47D459" w:themeColor="accent3" w:themeTint="99"/>
              <w:right w:val="single" w:sz="4" w:space="0" w:color="auto"/>
            </w:tcBorders>
            <w:tcMar>
              <w:top w:w="0" w:type="dxa"/>
              <w:left w:w="90" w:type="dxa"/>
              <w:bottom w:w="0" w:type="dxa"/>
              <w:right w:w="90" w:type="dxa"/>
            </w:tcMar>
            <w:hideMark/>
          </w:tcPr>
          <w:p w14:paraId="41DF1C45" w14:textId="77777777" w:rsidR="00DE3C06" w:rsidRPr="00E51992" w:rsidRDefault="00DE3C06" w:rsidP="008A49D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275317" w:themeColor="accent6" w:themeShade="80"/>
                <w:sz w:val="22"/>
                <w:szCs w:val="22"/>
              </w:rPr>
            </w:pPr>
            <w:r w:rsidRPr="00E51992">
              <w:rPr>
                <w:rFonts w:asciiTheme="minorHAnsi" w:hAnsiTheme="minorHAnsi"/>
                <w:color w:val="275317" w:themeColor="accent6" w:themeShade="80"/>
                <w:sz w:val="22"/>
                <w:szCs w:val="22"/>
              </w:rPr>
              <w:t>0.2</w:t>
            </w:r>
          </w:p>
        </w:tc>
      </w:tr>
      <w:tr w:rsidR="00DE3C06" w:rsidRPr="00E51992" w14:paraId="7C325D23" w14:textId="77777777" w:rsidTr="008A49D0">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9368" w:type="dxa"/>
            <w:gridSpan w:val="4"/>
            <w:tcBorders>
              <w:top w:val="single" w:sz="4" w:space="0" w:color="47D459" w:themeColor="accent3" w:themeTint="99"/>
              <w:left w:val="single" w:sz="4" w:space="0" w:color="auto"/>
              <w:bottom w:val="single" w:sz="4" w:space="0" w:color="47D459" w:themeColor="accent3" w:themeTint="99"/>
              <w:right w:val="single" w:sz="4" w:space="0" w:color="auto"/>
            </w:tcBorders>
            <w:tcMar>
              <w:top w:w="0" w:type="dxa"/>
              <w:left w:w="90" w:type="dxa"/>
              <w:bottom w:w="0" w:type="dxa"/>
              <w:right w:w="90" w:type="dxa"/>
            </w:tcMar>
            <w:hideMark/>
          </w:tcPr>
          <w:p w14:paraId="37922215" w14:textId="77777777" w:rsidR="00DE3C06" w:rsidRPr="00E51992" w:rsidRDefault="00DE3C06" w:rsidP="008A49D0">
            <w:pPr>
              <w:spacing w:line="276" w:lineRule="auto"/>
              <w:rPr>
                <w:rFonts w:asciiTheme="minorHAnsi" w:hAnsiTheme="minorHAnsi" w:cs="Nunito"/>
                <w:color w:val="275317" w:themeColor="accent6" w:themeShade="80"/>
                <w:sz w:val="22"/>
                <w:szCs w:val="22"/>
              </w:rPr>
            </w:pPr>
            <w:r w:rsidRPr="00E51992">
              <w:rPr>
                <w:rFonts w:asciiTheme="minorHAnsi" w:hAnsiTheme="minorHAnsi"/>
                <w:color w:val="275317" w:themeColor="accent6" w:themeShade="80"/>
                <w:sz w:val="22"/>
                <w:szCs w:val="22"/>
                <w:lang w:val="es-CO"/>
              </w:rPr>
              <w:t>CARGOS DE CARRERA ADMINISTRATIVA</w:t>
            </w:r>
          </w:p>
        </w:tc>
      </w:tr>
      <w:tr w:rsidR="00DE3C06" w:rsidRPr="00E51992" w14:paraId="781C07B7" w14:textId="77777777" w:rsidTr="008A49D0">
        <w:trPr>
          <w:trHeight w:val="312"/>
        </w:trPr>
        <w:tc>
          <w:tcPr>
            <w:cnfStyle w:val="001000000000" w:firstRow="0" w:lastRow="0" w:firstColumn="1" w:lastColumn="0" w:oddVBand="0" w:evenVBand="0" w:oddHBand="0" w:evenHBand="0" w:firstRowFirstColumn="0" w:firstRowLastColumn="0" w:lastRowFirstColumn="0" w:lastRowLastColumn="0"/>
            <w:tcW w:w="3393" w:type="dxa"/>
            <w:tcBorders>
              <w:top w:val="single" w:sz="4" w:space="0" w:color="47D459" w:themeColor="accent3" w:themeTint="99"/>
              <w:left w:val="single" w:sz="4" w:space="0" w:color="auto"/>
              <w:bottom w:val="single" w:sz="4" w:space="0" w:color="47D459" w:themeColor="accent3" w:themeTint="99"/>
              <w:right w:val="single" w:sz="6" w:space="0" w:color="auto"/>
            </w:tcBorders>
            <w:tcMar>
              <w:top w:w="0" w:type="dxa"/>
              <w:left w:w="90" w:type="dxa"/>
              <w:bottom w:w="0" w:type="dxa"/>
              <w:right w:w="90" w:type="dxa"/>
            </w:tcMar>
            <w:hideMark/>
          </w:tcPr>
          <w:p w14:paraId="332BFBEE" w14:textId="77777777" w:rsidR="00DE3C06" w:rsidRPr="00E51992" w:rsidRDefault="00DE3C06" w:rsidP="008A49D0">
            <w:pPr>
              <w:spacing w:line="276" w:lineRule="auto"/>
              <w:rPr>
                <w:rFonts w:asciiTheme="minorHAnsi" w:hAnsiTheme="minorHAnsi" w:cs="Nunito"/>
                <w:color w:val="275317" w:themeColor="accent6" w:themeShade="80"/>
                <w:sz w:val="22"/>
                <w:szCs w:val="22"/>
              </w:rPr>
            </w:pPr>
            <w:r w:rsidRPr="00E51992">
              <w:rPr>
                <w:rFonts w:asciiTheme="minorHAnsi" w:hAnsiTheme="minorHAnsi"/>
                <w:color w:val="275317" w:themeColor="accent6" w:themeShade="80"/>
                <w:sz w:val="22"/>
                <w:szCs w:val="22"/>
                <w:lang w:val="es-CO"/>
              </w:rPr>
              <w:t>A la fecha de inicio de la gestión</w:t>
            </w:r>
          </w:p>
        </w:tc>
        <w:tc>
          <w:tcPr>
            <w:tcW w:w="1948" w:type="dxa"/>
            <w:tc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tcBorders>
            <w:tcMar>
              <w:top w:w="0" w:type="dxa"/>
              <w:left w:w="90" w:type="dxa"/>
              <w:bottom w:w="0" w:type="dxa"/>
              <w:right w:w="90" w:type="dxa"/>
            </w:tcMar>
          </w:tcPr>
          <w:p w14:paraId="396CA8D0" w14:textId="77777777" w:rsidR="00DE3C06" w:rsidRPr="00E51992" w:rsidRDefault="00DE3C06" w:rsidP="008A49D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275317" w:themeColor="accent6" w:themeShade="80"/>
                <w:sz w:val="22"/>
                <w:szCs w:val="22"/>
              </w:rPr>
            </w:pPr>
            <w:r w:rsidRPr="00E51992">
              <w:rPr>
                <w:rFonts w:asciiTheme="minorHAnsi" w:hAnsiTheme="minorHAnsi"/>
                <w:color w:val="275317" w:themeColor="accent6" w:themeShade="80"/>
                <w:sz w:val="22"/>
                <w:szCs w:val="22"/>
              </w:rPr>
              <w:t>4</w:t>
            </w:r>
          </w:p>
        </w:tc>
        <w:tc>
          <w:tcPr>
            <w:tcW w:w="1785" w:type="dxa"/>
            <w:tc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tcBorders>
            <w:tcMar>
              <w:top w:w="0" w:type="dxa"/>
              <w:left w:w="90" w:type="dxa"/>
              <w:bottom w:w="0" w:type="dxa"/>
              <w:right w:w="90" w:type="dxa"/>
            </w:tcMar>
          </w:tcPr>
          <w:p w14:paraId="1894F4C1" w14:textId="77777777" w:rsidR="00DE3C06" w:rsidRPr="00E51992" w:rsidRDefault="00DE3C06" w:rsidP="008A49D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275317" w:themeColor="accent6" w:themeShade="80"/>
                <w:sz w:val="22"/>
                <w:szCs w:val="22"/>
              </w:rPr>
            </w:pPr>
            <w:r w:rsidRPr="00E51992">
              <w:rPr>
                <w:rFonts w:asciiTheme="minorHAnsi" w:hAnsiTheme="minorHAnsi"/>
                <w:color w:val="275317" w:themeColor="accent6" w:themeShade="80"/>
                <w:sz w:val="22"/>
                <w:szCs w:val="22"/>
              </w:rPr>
              <w:t>4</w:t>
            </w:r>
          </w:p>
        </w:tc>
        <w:tc>
          <w:tcPr>
            <w:tcW w:w="2242" w:type="dxa"/>
            <w:tcBorders>
              <w:top w:val="single" w:sz="4" w:space="0" w:color="47D459" w:themeColor="accent3" w:themeTint="99"/>
              <w:left w:val="single" w:sz="4" w:space="0" w:color="47D459" w:themeColor="accent3" w:themeTint="99"/>
              <w:bottom w:val="single" w:sz="4" w:space="0" w:color="47D459" w:themeColor="accent3" w:themeTint="99"/>
              <w:right w:val="single" w:sz="4" w:space="0" w:color="auto"/>
            </w:tcBorders>
            <w:tcMar>
              <w:top w:w="0" w:type="dxa"/>
              <w:left w:w="90" w:type="dxa"/>
              <w:bottom w:w="0" w:type="dxa"/>
              <w:right w:w="90" w:type="dxa"/>
            </w:tcMar>
          </w:tcPr>
          <w:p w14:paraId="257E44A4" w14:textId="77777777" w:rsidR="00DE3C06" w:rsidRPr="00E51992" w:rsidRDefault="00DE3C06" w:rsidP="008A49D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275317" w:themeColor="accent6" w:themeShade="80"/>
                <w:sz w:val="22"/>
                <w:szCs w:val="22"/>
              </w:rPr>
            </w:pPr>
            <w:r w:rsidRPr="00E51992">
              <w:rPr>
                <w:rFonts w:asciiTheme="minorHAnsi" w:hAnsiTheme="minorHAnsi"/>
                <w:color w:val="275317" w:themeColor="accent6" w:themeShade="80"/>
                <w:sz w:val="22"/>
                <w:szCs w:val="22"/>
              </w:rPr>
              <w:t>0</w:t>
            </w:r>
          </w:p>
        </w:tc>
      </w:tr>
      <w:tr w:rsidR="00DE3C06" w:rsidRPr="00E51992" w14:paraId="1DBDEC38" w14:textId="77777777" w:rsidTr="008A49D0">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3393" w:type="dxa"/>
            <w:tcBorders>
              <w:top w:val="single" w:sz="4" w:space="0" w:color="47D459" w:themeColor="accent3" w:themeTint="99"/>
              <w:left w:val="single" w:sz="4" w:space="0" w:color="auto"/>
              <w:bottom w:val="single" w:sz="4" w:space="0" w:color="47D459" w:themeColor="accent3" w:themeTint="99"/>
              <w:right w:val="single" w:sz="4" w:space="0" w:color="47D459" w:themeColor="accent3" w:themeTint="99"/>
            </w:tcBorders>
            <w:tcMar>
              <w:top w:w="0" w:type="dxa"/>
              <w:left w:w="90" w:type="dxa"/>
              <w:bottom w:w="0" w:type="dxa"/>
              <w:right w:w="90" w:type="dxa"/>
            </w:tcMar>
            <w:hideMark/>
          </w:tcPr>
          <w:p w14:paraId="6660E3E6" w14:textId="77777777" w:rsidR="00DE3C06" w:rsidRPr="00E51992" w:rsidRDefault="00DE3C06" w:rsidP="008A49D0">
            <w:pPr>
              <w:spacing w:line="276" w:lineRule="auto"/>
              <w:rPr>
                <w:rFonts w:asciiTheme="minorHAnsi" w:hAnsiTheme="minorHAnsi" w:cs="Nunito"/>
                <w:color w:val="275317" w:themeColor="accent6" w:themeShade="80"/>
                <w:sz w:val="22"/>
                <w:szCs w:val="22"/>
              </w:rPr>
            </w:pPr>
            <w:r w:rsidRPr="00E51992">
              <w:rPr>
                <w:rFonts w:asciiTheme="minorHAnsi" w:hAnsiTheme="minorHAnsi"/>
                <w:color w:val="275317" w:themeColor="accent6" w:themeShade="80"/>
                <w:sz w:val="22"/>
                <w:szCs w:val="22"/>
                <w:lang w:val="es-CO"/>
              </w:rPr>
              <w:t>A la fecha de finalización de gobierno</w:t>
            </w:r>
          </w:p>
        </w:tc>
        <w:tc>
          <w:tcPr>
            <w:tcW w:w="1948" w:type="dxa"/>
            <w:tc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tcBorders>
            <w:tcMar>
              <w:top w:w="0" w:type="dxa"/>
              <w:left w:w="90" w:type="dxa"/>
              <w:bottom w:w="0" w:type="dxa"/>
              <w:right w:w="90" w:type="dxa"/>
            </w:tcMar>
          </w:tcPr>
          <w:p w14:paraId="2E13E877" w14:textId="77777777" w:rsidR="00DE3C06" w:rsidRPr="00E51992" w:rsidRDefault="00DE3C06" w:rsidP="008A49D0">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275317" w:themeColor="accent6" w:themeShade="80"/>
                <w:sz w:val="22"/>
                <w:szCs w:val="22"/>
              </w:rPr>
            </w:pPr>
          </w:p>
          <w:p w14:paraId="4CC9E503" w14:textId="77777777" w:rsidR="00DE3C06" w:rsidRPr="00E51992" w:rsidRDefault="00DE3C06" w:rsidP="008A49D0">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275317" w:themeColor="accent6" w:themeShade="80"/>
                <w:sz w:val="22"/>
                <w:szCs w:val="22"/>
              </w:rPr>
            </w:pPr>
            <w:r w:rsidRPr="00E51992">
              <w:rPr>
                <w:rFonts w:asciiTheme="minorHAnsi" w:hAnsiTheme="minorHAnsi"/>
                <w:color w:val="275317" w:themeColor="accent6" w:themeShade="80"/>
                <w:sz w:val="22"/>
                <w:szCs w:val="22"/>
              </w:rPr>
              <w:t>217</w:t>
            </w:r>
          </w:p>
        </w:tc>
        <w:tc>
          <w:tcPr>
            <w:tcW w:w="1785" w:type="dxa"/>
            <w:tc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tcBorders>
            <w:tcMar>
              <w:top w:w="0" w:type="dxa"/>
              <w:left w:w="90" w:type="dxa"/>
              <w:bottom w:w="0" w:type="dxa"/>
              <w:right w:w="90" w:type="dxa"/>
            </w:tcMar>
          </w:tcPr>
          <w:p w14:paraId="78637E60" w14:textId="77777777" w:rsidR="00DE3C06" w:rsidRPr="00E51992" w:rsidRDefault="00DE3C06" w:rsidP="008A49D0">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275317" w:themeColor="accent6" w:themeShade="80"/>
                <w:sz w:val="22"/>
                <w:szCs w:val="22"/>
              </w:rPr>
            </w:pPr>
          </w:p>
          <w:p w14:paraId="1BF4245C" w14:textId="77777777" w:rsidR="00DE3C06" w:rsidRPr="00E51992" w:rsidRDefault="00DE3C06" w:rsidP="008A49D0">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275317" w:themeColor="accent6" w:themeShade="80"/>
                <w:sz w:val="22"/>
                <w:szCs w:val="22"/>
              </w:rPr>
            </w:pPr>
            <w:r w:rsidRPr="00E51992">
              <w:rPr>
                <w:rFonts w:asciiTheme="minorHAnsi" w:hAnsiTheme="minorHAnsi"/>
                <w:color w:val="275317" w:themeColor="accent6" w:themeShade="80"/>
                <w:sz w:val="22"/>
                <w:szCs w:val="22"/>
              </w:rPr>
              <w:t>184</w:t>
            </w:r>
          </w:p>
        </w:tc>
        <w:tc>
          <w:tcPr>
            <w:tcW w:w="2242" w:type="dxa"/>
            <w:tcBorders>
              <w:top w:val="single" w:sz="4" w:space="0" w:color="47D459" w:themeColor="accent3" w:themeTint="99"/>
              <w:left w:val="single" w:sz="4" w:space="0" w:color="47D459" w:themeColor="accent3" w:themeTint="99"/>
              <w:bottom w:val="single" w:sz="4" w:space="0" w:color="47D459" w:themeColor="accent3" w:themeTint="99"/>
              <w:right w:val="single" w:sz="4" w:space="0" w:color="auto"/>
            </w:tcBorders>
            <w:tcMar>
              <w:top w:w="0" w:type="dxa"/>
              <w:left w:w="90" w:type="dxa"/>
              <w:bottom w:w="0" w:type="dxa"/>
              <w:right w:w="90" w:type="dxa"/>
            </w:tcMar>
          </w:tcPr>
          <w:p w14:paraId="00239E17" w14:textId="77777777" w:rsidR="00DE3C06" w:rsidRPr="00E51992" w:rsidRDefault="00DE3C06" w:rsidP="008A49D0">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275317" w:themeColor="accent6" w:themeShade="80"/>
                <w:sz w:val="22"/>
                <w:szCs w:val="22"/>
              </w:rPr>
            </w:pPr>
          </w:p>
          <w:p w14:paraId="71748276" w14:textId="77777777" w:rsidR="00DE3C06" w:rsidRPr="00E51992" w:rsidRDefault="00DE3C06" w:rsidP="008A49D0">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275317" w:themeColor="accent6" w:themeShade="80"/>
                <w:sz w:val="22"/>
                <w:szCs w:val="22"/>
              </w:rPr>
            </w:pPr>
            <w:r w:rsidRPr="00E51992">
              <w:rPr>
                <w:rFonts w:asciiTheme="minorHAnsi" w:hAnsiTheme="minorHAnsi"/>
                <w:color w:val="275317" w:themeColor="accent6" w:themeShade="80"/>
                <w:sz w:val="22"/>
                <w:szCs w:val="22"/>
              </w:rPr>
              <w:t>33</w:t>
            </w:r>
          </w:p>
        </w:tc>
      </w:tr>
      <w:tr w:rsidR="00DE3C06" w:rsidRPr="00E51992" w14:paraId="399B4AF5" w14:textId="77777777" w:rsidTr="008A49D0">
        <w:trPr>
          <w:trHeight w:val="312"/>
        </w:trPr>
        <w:tc>
          <w:tcPr>
            <w:cnfStyle w:val="001000000000" w:firstRow="0" w:lastRow="0" w:firstColumn="1" w:lastColumn="0" w:oddVBand="0" w:evenVBand="0" w:oddHBand="0" w:evenHBand="0" w:firstRowFirstColumn="0" w:firstRowLastColumn="0" w:lastRowFirstColumn="0" w:lastRowLastColumn="0"/>
            <w:tcW w:w="3393" w:type="dxa"/>
            <w:tcBorders>
              <w:top w:val="single" w:sz="4" w:space="0" w:color="47D459" w:themeColor="accent3" w:themeTint="99"/>
              <w:left w:val="single" w:sz="4" w:space="0" w:color="auto"/>
              <w:bottom w:val="single" w:sz="4" w:space="0" w:color="auto"/>
              <w:right w:val="single" w:sz="4" w:space="0" w:color="47D459" w:themeColor="accent3" w:themeTint="99"/>
            </w:tcBorders>
            <w:tcMar>
              <w:top w:w="0" w:type="dxa"/>
              <w:left w:w="90" w:type="dxa"/>
              <w:bottom w:w="0" w:type="dxa"/>
              <w:right w:w="90" w:type="dxa"/>
            </w:tcMar>
            <w:hideMark/>
          </w:tcPr>
          <w:p w14:paraId="1A1BF23E" w14:textId="77777777" w:rsidR="00DE3C06" w:rsidRPr="00E51992" w:rsidRDefault="00DE3C06" w:rsidP="008A49D0">
            <w:pPr>
              <w:spacing w:line="276" w:lineRule="auto"/>
              <w:rPr>
                <w:rFonts w:asciiTheme="minorHAnsi" w:hAnsiTheme="minorHAnsi" w:cs="Nunito"/>
                <w:color w:val="275317" w:themeColor="accent6" w:themeShade="80"/>
                <w:sz w:val="22"/>
                <w:szCs w:val="22"/>
              </w:rPr>
            </w:pPr>
            <w:r w:rsidRPr="00E51992">
              <w:rPr>
                <w:rFonts w:asciiTheme="minorHAnsi" w:hAnsiTheme="minorHAnsi"/>
                <w:color w:val="275317" w:themeColor="accent6" w:themeShade="80"/>
                <w:sz w:val="22"/>
                <w:szCs w:val="22"/>
                <w:lang w:val="es-CO"/>
              </w:rPr>
              <w:t>Variación porcentual</w:t>
            </w:r>
          </w:p>
        </w:tc>
        <w:tc>
          <w:tcPr>
            <w:tcW w:w="1948" w:type="dxa"/>
            <w:tcBorders>
              <w:top w:val="single" w:sz="4" w:space="0" w:color="47D459" w:themeColor="accent3" w:themeTint="99"/>
              <w:left w:val="single" w:sz="4" w:space="0" w:color="47D459" w:themeColor="accent3" w:themeTint="99"/>
              <w:bottom w:val="single" w:sz="4" w:space="0" w:color="auto"/>
              <w:right w:val="single" w:sz="4" w:space="0" w:color="47D459" w:themeColor="accent3" w:themeTint="99"/>
            </w:tcBorders>
            <w:tcMar>
              <w:top w:w="0" w:type="dxa"/>
              <w:left w:w="90" w:type="dxa"/>
              <w:bottom w:w="0" w:type="dxa"/>
              <w:right w:w="90" w:type="dxa"/>
            </w:tcMar>
          </w:tcPr>
          <w:p w14:paraId="3D28FC75" w14:textId="77777777" w:rsidR="00DE3C06" w:rsidRPr="00E51992" w:rsidRDefault="00DE3C06" w:rsidP="008A49D0">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275317" w:themeColor="accent6" w:themeShade="80"/>
                <w:sz w:val="22"/>
                <w:szCs w:val="22"/>
              </w:rPr>
            </w:pPr>
          </w:p>
        </w:tc>
        <w:tc>
          <w:tcPr>
            <w:tcW w:w="1785" w:type="dxa"/>
            <w:tcBorders>
              <w:top w:val="single" w:sz="4" w:space="0" w:color="47D459" w:themeColor="accent3" w:themeTint="99"/>
              <w:left w:val="single" w:sz="4" w:space="0" w:color="47D459" w:themeColor="accent3" w:themeTint="99"/>
              <w:bottom w:val="single" w:sz="4" w:space="0" w:color="auto"/>
              <w:right w:val="single" w:sz="4" w:space="0" w:color="47D459" w:themeColor="accent3" w:themeTint="99"/>
            </w:tcBorders>
            <w:tcMar>
              <w:top w:w="0" w:type="dxa"/>
              <w:left w:w="90" w:type="dxa"/>
              <w:bottom w:w="0" w:type="dxa"/>
              <w:right w:w="90" w:type="dxa"/>
            </w:tcMar>
          </w:tcPr>
          <w:p w14:paraId="6869D65D" w14:textId="77777777" w:rsidR="00DE3C06" w:rsidRPr="00E51992" w:rsidRDefault="00DE3C06" w:rsidP="008A49D0">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275317" w:themeColor="accent6" w:themeShade="80"/>
                <w:sz w:val="22"/>
                <w:szCs w:val="22"/>
              </w:rPr>
            </w:pPr>
          </w:p>
        </w:tc>
        <w:tc>
          <w:tcPr>
            <w:tcW w:w="2242" w:type="dxa"/>
            <w:tcBorders>
              <w:top w:val="single" w:sz="4" w:space="0" w:color="47D459" w:themeColor="accent3" w:themeTint="99"/>
              <w:left w:val="single" w:sz="4" w:space="0" w:color="47D459" w:themeColor="accent3" w:themeTint="99"/>
              <w:bottom w:val="single" w:sz="4" w:space="0" w:color="auto"/>
              <w:right w:val="single" w:sz="4" w:space="0" w:color="auto"/>
            </w:tcBorders>
            <w:tcMar>
              <w:top w:w="0" w:type="dxa"/>
              <w:left w:w="90" w:type="dxa"/>
              <w:bottom w:w="0" w:type="dxa"/>
              <w:right w:w="90" w:type="dxa"/>
            </w:tcMar>
          </w:tcPr>
          <w:p w14:paraId="3F51A106" w14:textId="77777777" w:rsidR="00DE3C06" w:rsidRPr="00E51992" w:rsidRDefault="00DE3C06" w:rsidP="008A49D0">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275317" w:themeColor="accent6" w:themeShade="80"/>
                <w:sz w:val="22"/>
                <w:szCs w:val="22"/>
              </w:rPr>
            </w:pPr>
          </w:p>
        </w:tc>
      </w:tr>
    </w:tbl>
    <w:p w14:paraId="15976270" w14:textId="77777777" w:rsidR="00DE3C06" w:rsidRPr="000C5171" w:rsidRDefault="00DE3C06">
      <w:pPr>
        <w:pStyle w:val="Textocomentario"/>
        <w:numPr>
          <w:ilvl w:val="0"/>
          <w:numId w:val="16"/>
        </w:numPr>
        <w:jc w:val="center"/>
        <w:rPr>
          <w:sz w:val="18"/>
          <w:szCs w:val="18"/>
          <w:lang w:val="es-CO"/>
        </w:rPr>
      </w:pPr>
      <w:r w:rsidRPr="000C5171">
        <w:rPr>
          <w:sz w:val="18"/>
          <w:szCs w:val="18"/>
          <w:lang w:val="es-CO"/>
        </w:rPr>
        <w:t xml:space="preserve">Nota: De las ocho (8) vacantes, cinco (5) se encuentran con encargo y tres (3) están pendientes de nombrar, de los cuales dos (2) son expertos grado 8 y uno (1) es técnico </w:t>
      </w:r>
      <w:proofErr w:type="gramStart"/>
      <w:r w:rsidRPr="000C5171">
        <w:rPr>
          <w:sz w:val="18"/>
          <w:szCs w:val="18"/>
          <w:lang w:val="es-CO"/>
        </w:rPr>
        <w:t>asistencial  a</w:t>
      </w:r>
      <w:proofErr w:type="gramEnd"/>
      <w:r w:rsidRPr="000C5171">
        <w:rPr>
          <w:sz w:val="18"/>
          <w:szCs w:val="18"/>
          <w:lang w:val="es-CO"/>
        </w:rPr>
        <w:t xml:space="preserve"> cargo de la dirección general.</w:t>
      </w:r>
    </w:p>
    <w:p w14:paraId="6BA81676" w14:textId="77777777" w:rsidR="00DE3C06" w:rsidRPr="000C5171" w:rsidRDefault="00DE3C06" w:rsidP="00DE3C06">
      <w:pPr>
        <w:pStyle w:val="Textocomentario"/>
        <w:jc w:val="center"/>
        <w:rPr>
          <w:sz w:val="18"/>
          <w:szCs w:val="18"/>
          <w:lang w:val="es-CO"/>
        </w:rPr>
      </w:pPr>
    </w:p>
    <w:p w14:paraId="2A729A6A" w14:textId="77777777" w:rsidR="00DE3C06" w:rsidRPr="000C5171" w:rsidRDefault="00DE3C06" w:rsidP="00DE3C06">
      <w:pPr>
        <w:pStyle w:val="Textocomentario"/>
        <w:jc w:val="center"/>
        <w:rPr>
          <w:sz w:val="18"/>
          <w:szCs w:val="18"/>
          <w:lang w:val="es-CO"/>
        </w:rPr>
      </w:pPr>
      <w:r w:rsidRPr="000C5171">
        <w:rPr>
          <w:sz w:val="18"/>
          <w:szCs w:val="18"/>
          <w:lang w:val="es-CO"/>
        </w:rPr>
        <w:t xml:space="preserve">Fuente: (ART). Fecha de corte:  </w:t>
      </w:r>
      <w:proofErr w:type="gramStart"/>
      <w:r w:rsidRPr="000C5171">
        <w:rPr>
          <w:sz w:val="18"/>
          <w:szCs w:val="18"/>
          <w:lang w:val="es-CO"/>
        </w:rPr>
        <w:t>Octubre</w:t>
      </w:r>
      <w:proofErr w:type="gramEnd"/>
      <w:r w:rsidRPr="000C5171">
        <w:rPr>
          <w:sz w:val="18"/>
          <w:szCs w:val="18"/>
          <w:lang w:val="es-CO"/>
        </w:rPr>
        <w:t xml:space="preserve"> 2022 a 30 de Junio 2026</w:t>
      </w:r>
    </w:p>
    <w:p w14:paraId="099A9D91" w14:textId="77777777" w:rsidR="00DE3C06" w:rsidRPr="000C5171" w:rsidRDefault="00DE3C06" w:rsidP="00DE3C06">
      <w:pPr>
        <w:pStyle w:val="Ttulo1"/>
        <w:spacing w:line="276" w:lineRule="auto"/>
        <w:ind w:firstLine="708"/>
        <w:rPr>
          <w:rFonts w:cs="Tahoma"/>
          <w:color w:val="0070C0"/>
        </w:rPr>
      </w:pPr>
    </w:p>
    <w:p w14:paraId="0B9B7AFA" w14:textId="77777777" w:rsidR="00DE3C06" w:rsidRPr="000C5171" w:rsidRDefault="00DE3C06" w:rsidP="00DE3C06"/>
    <w:p w14:paraId="66C97E3E" w14:textId="77777777" w:rsidR="00DE3C06" w:rsidRPr="000C5171" w:rsidRDefault="00DE3C06" w:rsidP="00DE3C06">
      <w:pPr>
        <w:pStyle w:val="Ttulo1"/>
        <w:spacing w:line="276" w:lineRule="auto"/>
        <w:rPr>
          <w:rFonts w:cs="Tahoma"/>
          <w:color w:val="0070C0"/>
        </w:rPr>
      </w:pPr>
      <w:bookmarkStart w:id="32" w:name="_Toc234168095"/>
      <w:r w:rsidRPr="000C5171">
        <w:rPr>
          <w:rFonts w:cs="Tahoma"/>
          <w:color w:val="0070C0"/>
        </w:rPr>
        <w:lastRenderedPageBreak/>
        <w:t>7.8 Concurso de mérito</w:t>
      </w:r>
      <w:bookmarkEnd w:id="32"/>
      <w:r w:rsidRPr="000C5171">
        <w:rPr>
          <w:rFonts w:cs="Tahoma"/>
          <w:color w:val="0070C0"/>
        </w:rPr>
        <w:t xml:space="preserve"> </w:t>
      </w:r>
    </w:p>
    <w:p w14:paraId="5AFCFDEB" w14:textId="77777777" w:rsidR="00DE3C06" w:rsidRPr="000C5171" w:rsidRDefault="00DE3C06" w:rsidP="00DE3C06">
      <w:pPr>
        <w:spacing w:line="276" w:lineRule="auto"/>
        <w:jc w:val="both"/>
        <w:rPr>
          <w:rFonts w:cs="Tahoma"/>
          <w:sz w:val="22"/>
          <w:szCs w:val="22"/>
        </w:rPr>
      </w:pPr>
      <w:r w:rsidRPr="000C5171">
        <w:rPr>
          <w:rFonts w:cs="Tahoma"/>
          <w:sz w:val="22"/>
          <w:szCs w:val="22"/>
        </w:rPr>
        <w:t>En el marco del Proceso de Selección No. 1498 de 2020 – Nación 3, y en cumplimiento de lo dispuesto en el Acuerdo No. 354 de 2020 de la Comisión del Nacional del Servicio Civil (CNSC), se realizó la convocatoria pública y se establecieron las reglas que rigieron el proceso de selección en las modalidades de ascenso y abierto, con el objetivo de proveer empleos en vacancia definitiva pertenecientes al Sistema General de Carrera Administrativa de la planta de personal de la ART.</w:t>
      </w:r>
    </w:p>
    <w:p w14:paraId="36A601B4" w14:textId="77777777" w:rsidR="00DE3C06" w:rsidRPr="000C5171" w:rsidRDefault="00DE3C06" w:rsidP="00DE3C06">
      <w:pPr>
        <w:spacing w:line="276" w:lineRule="auto"/>
        <w:jc w:val="both"/>
        <w:rPr>
          <w:rFonts w:cs="Tahoma"/>
          <w:sz w:val="22"/>
          <w:szCs w:val="22"/>
        </w:rPr>
      </w:pPr>
      <w:r w:rsidRPr="000C5171">
        <w:rPr>
          <w:rFonts w:cs="Tahoma"/>
          <w:sz w:val="22"/>
          <w:szCs w:val="22"/>
        </w:rPr>
        <w:t>En desarrollo de dicho proceso, se ofertaron un total de doscientos sesenta y tres (263) empleos, de los cuales cuatro (4) correspondieron a la modalidad de ascenso y doscientos cincuenta y nueve (259) a la modalidad abierta.</w:t>
      </w:r>
    </w:p>
    <w:p w14:paraId="199C2E5C" w14:textId="77777777" w:rsidR="00DE3C06" w:rsidRPr="000C5171" w:rsidRDefault="00DE3C06" w:rsidP="00DE3C06">
      <w:pPr>
        <w:spacing w:line="276" w:lineRule="auto"/>
        <w:jc w:val="both"/>
        <w:rPr>
          <w:rFonts w:cs="Tahoma"/>
          <w:sz w:val="22"/>
          <w:szCs w:val="22"/>
        </w:rPr>
      </w:pPr>
      <w:r w:rsidRPr="000C5171">
        <w:rPr>
          <w:rFonts w:cs="Tahoma"/>
          <w:sz w:val="22"/>
          <w:szCs w:val="22"/>
        </w:rPr>
        <w:t>En el mes de diciembre de 2025, las listas de elegibles resultantes del mencionado proceso fueron debidamente agotadas y se encuentran vencidas, de conformidad con los términos de vigencia establecidos en la normatividad vigente.</w:t>
      </w:r>
    </w:p>
    <w:p w14:paraId="17AB3C57" w14:textId="77777777" w:rsidR="00DE3C06" w:rsidRPr="000C5171" w:rsidRDefault="00DE3C06" w:rsidP="00DE3C06">
      <w:pPr>
        <w:spacing w:line="276" w:lineRule="auto"/>
        <w:jc w:val="both"/>
        <w:rPr>
          <w:rFonts w:cs="Tahoma"/>
          <w:sz w:val="22"/>
          <w:szCs w:val="22"/>
        </w:rPr>
      </w:pPr>
      <w:r w:rsidRPr="000C5171">
        <w:rPr>
          <w:rFonts w:cs="Tahoma"/>
          <w:sz w:val="22"/>
          <w:szCs w:val="22"/>
        </w:rPr>
        <w:t>No obstante, lo anterior, con corte al 30 de junio se evidenció la existencia de sesenta y cuatro (64) vacantes definitivas, originadas en distintas situaciones administrativas.</w:t>
      </w:r>
    </w:p>
    <w:p w14:paraId="1F36A2EF" w14:textId="77777777" w:rsidR="00DE3C06" w:rsidRPr="000C5171" w:rsidRDefault="00DE3C06" w:rsidP="00DE3C06">
      <w:pPr>
        <w:spacing w:line="276" w:lineRule="auto"/>
        <w:jc w:val="both"/>
        <w:rPr>
          <w:rFonts w:cs="Tahoma"/>
          <w:sz w:val="22"/>
          <w:szCs w:val="22"/>
        </w:rPr>
      </w:pPr>
      <w:r w:rsidRPr="000C5171">
        <w:rPr>
          <w:rFonts w:cs="Tahoma"/>
          <w:sz w:val="22"/>
          <w:szCs w:val="22"/>
        </w:rPr>
        <w:t>La Comisión Nacional del Servicio Civil (CNSC) adelantó un nuevo proceso de selección para diversas entidades del orden nacional. En el marco de este proceso, se llevaron a cabo mesas de trabajo interinstitucionales, en las cuales se informó que la entidad adelantó la actualización y modificación del Manual Específico de Funciones y de Competencias Laborales, así como la gestión de los recursos presupuestales necesarios para la financiación del concurso.</w:t>
      </w:r>
    </w:p>
    <w:p w14:paraId="0E156FB0" w14:textId="77777777" w:rsidR="00DE3C06" w:rsidRPr="000C5171" w:rsidRDefault="00DE3C06" w:rsidP="00DE3C06">
      <w:pPr>
        <w:spacing w:line="276" w:lineRule="auto"/>
        <w:jc w:val="both"/>
        <w:rPr>
          <w:rFonts w:cs="Tahoma"/>
          <w:color w:val="000000" w:themeColor="text1"/>
          <w:sz w:val="22"/>
          <w:szCs w:val="22"/>
        </w:rPr>
      </w:pPr>
      <w:r w:rsidRPr="000C5171">
        <w:rPr>
          <w:rFonts w:cs="Tahoma"/>
          <w:color w:val="000000" w:themeColor="text1"/>
          <w:sz w:val="22"/>
          <w:szCs w:val="22"/>
        </w:rPr>
        <w:t xml:space="preserve">A pesar de que la Comisión Nacional del Servicio Civil tiene presupuestado un nuevo concurso de méritos, la entidad ha manifestado que no es posible incluir sus vacantes en dicho proceso. Lo anterior se debe a que, con motivo de la actualización de los Planes de Acción para la Transformación Regional (PATR) y la implementación del modelo de operación por procesos, actualmente se está adelantando la actualización del manual de funciones, lo cual impide su participación en la presente convocatoria. </w:t>
      </w:r>
    </w:p>
    <w:p w14:paraId="676A63A4" w14:textId="77777777" w:rsidR="00DE3C06" w:rsidRPr="000C5171" w:rsidRDefault="00DE3C06" w:rsidP="00DE3C06">
      <w:pPr>
        <w:spacing w:line="276" w:lineRule="auto"/>
        <w:jc w:val="both"/>
        <w:rPr>
          <w:rFonts w:cs="Tahoma"/>
          <w:sz w:val="22"/>
          <w:szCs w:val="22"/>
        </w:rPr>
      </w:pPr>
    </w:p>
    <w:p w14:paraId="777D66F6" w14:textId="77777777" w:rsidR="00DE3C06" w:rsidRPr="000C5171" w:rsidRDefault="00DE3C06">
      <w:pPr>
        <w:pStyle w:val="Ttulo1"/>
        <w:numPr>
          <w:ilvl w:val="1"/>
          <w:numId w:val="17"/>
        </w:numPr>
        <w:spacing w:line="276" w:lineRule="auto"/>
        <w:ind w:left="0" w:firstLine="0"/>
        <w:rPr>
          <w:rFonts w:cs="Tahoma"/>
          <w:color w:val="0070C0"/>
        </w:rPr>
      </w:pPr>
      <w:r w:rsidRPr="000C5171">
        <w:rPr>
          <w:rFonts w:cs="Tahoma"/>
          <w:color w:val="0070C0"/>
        </w:rPr>
        <w:t xml:space="preserve"> </w:t>
      </w:r>
      <w:bookmarkStart w:id="33" w:name="_Toc234168096"/>
      <w:r w:rsidRPr="000C5171">
        <w:rPr>
          <w:rFonts w:cs="Tahoma"/>
          <w:color w:val="0070C0"/>
        </w:rPr>
        <w:t>Contratación</w:t>
      </w:r>
      <w:bookmarkEnd w:id="33"/>
    </w:p>
    <w:p w14:paraId="20E3EA26" w14:textId="77777777" w:rsidR="00DE3C06" w:rsidRPr="000C5171" w:rsidRDefault="00DE3C06" w:rsidP="00DE3C06">
      <w:pPr>
        <w:jc w:val="both"/>
        <w:rPr>
          <w:rFonts w:cs="Calibri"/>
          <w:sz w:val="22"/>
          <w:szCs w:val="22"/>
        </w:rPr>
      </w:pPr>
      <w:r w:rsidRPr="000C5171">
        <w:rPr>
          <w:rFonts w:cs="Calibri"/>
          <w:sz w:val="22"/>
          <w:szCs w:val="22"/>
        </w:rPr>
        <w:t xml:space="preserve">La contratación que adelanta la Agencia de Renovación del Territorio trasciende la dimensión estrictamente administrativa de la gestión pública, en la medida en que constituye uno de los principales instrumentos para convertir la planeación institucional en acciones concretas en los territorios. Los contratos y convenios que impulsa la Entidad permiten materializar </w:t>
      </w:r>
      <w:r w:rsidRPr="000C5171">
        <w:rPr>
          <w:rFonts w:cs="Calibri"/>
          <w:sz w:val="22"/>
          <w:szCs w:val="22"/>
        </w:rPr>
        <w:lastRenderedPageBreak/>
        <w:t>proyectos e intervenciones orientados a atender las necesidades de las comunidades de las subregiones PDET, caracterizadas por profundas brechas sociales y económicas, dificultades de acceso a bienes y servicios y una especial afectación derivada del conflicto armado. En este contexto, la contratación permite llevar a la realidad iniciativas que fortalecen la infraestructura, promueven alternativas productivas, de reconciliación y mejoran la organización territorial, contribuyendo a la generación de nuevas oportunidades para las comunidades.</w:t>
      </w:r>
    </w:p>
    <w:p w14:paraId="629A742B" w14:textId="77777777" w:rsidR="00DE3C06" w:rsidRPr="000C5171" w:rsidRDefault="00DE3C06" w:rsidP="00DE3C06">
      <w:pPr>
        <w:jc w:val="both"/>
        <w:rPr>
          <w:rFonts w:cs="Calibri"/>
          <w:sz w:val="22"/>
          <w:szCs w:val="22"/>
        </w:rPr>
      </w:pPr>
      <w:r w:rsidRPr="000C5171">
        <w:rPr>
          <w:rFonts w:cs="Calibri"/>
          <w:sz w:val="22"/>
          <w:szCs w:val="22"/>
        </w:rPr>
        <w:t>La importancia estratégica de la contratación se comprende, entonces, desde su relación directa con la misión de la Entidad y con las necesidades concretas de los territorios. Detrás de cada proceso contractual existe un propósito público que debe traducirse en resultados para las comunidades: una obra necesaria, una iniciativa productiva, una intervención social o una acción institucional que contribuya a superar brechas históricas y fortalecer las capacidades locales.</w:t>
      </w:r>
    </w:p>
    <w:p w14:paraId="5A677095" w14:textId="77777777" w:rsidR="00DE3C06" w:rsidRPr="000C5171" w:rsidRDefault="00DE3C06" w:rsidP="00DE3C06"/>
    <w:p w14:paraId="4D56F199" w14:textId="77777777" w:rsidR="00DE3C06" w:rsidRPr="000C5171" w:rsidRDefault="00DE3C06" w:rsidP="00DE3C06">
      <w:pPr>
        <w:spacing w:line="276" w:lineRule="auto"/>
        <w:jc w:val="both"/>
        <w:rPr>
          <w:rFonts w:eastAsia="Times New Roman" w:cs="Tahoma"/>
          <w:color w:val="0070C0"/>
          <w:sz w:val="22"/>
          <w:szCs w:val="22"/>
        </w:rPr>
      </w:pPr>
      <w:r w:rsidRPr="000C5171">
        <w:rPr>
          <w:rFonts w:eastAsia="Times New Roman" w:cs="Tahoma"/>
          <w:color w:val="0070C0"/>
          <w:sz w:val="22"/>
          <w:szCs w:val="22"/>
        </w:rPr>
        <w:t>7.9.1 Contratos ART – PRESUPUESTO GENERAL DE LA NACIÓN (PGN)</w:t>
      </w:r>
    </w:p>
    <w:p w14:paraId="1B7F62E3" w14:textId="77777777" w:rsidR="00DE3C06" w:rsidRPr="000C5171" w:rsidRDefault="00DE3C06" w:rsidP="00DE3C06">
      <w:pPr>
        <w:spacing w:line="276" w:lineRule="auto"/>
        <w:jc w:val="both"/>
        <w:rPr>
          <w:rFonts w:eastAsia="Times New Roman" w:cs="Tahoma"/>
          <w:sz w:val="22"/>
          <w:szCs w:val="22"/>
        </w:rPr>
      </w:pPr>
      <w:r w:rsidRPr="000C5171">
        <w:rPr>
          <w:rFonts w:eastAsia="Times New Roman" w:cs="Tahoma"/>
          <w:sz w:val="22"/>
          <w:szCs w:val="22"/>
        </w:rPr>
        <w:t>Se adjunta la matriz con la información contractual de recursos PGN (vigencias 2022–2026), con corte al 30 de junio de 2026.</w:t>
      </w:r>
    </w:p>
    <w:p w14:paraId="01014BF3" w14:textId="77777777" w:rsidR="00DE3C06" w:rsidRPr="000C5171" w:rsidRDefault="00DE3C06" w:rsidP="00DE3C06">
      <w:pPr>
        <w:tabs>
          <w:tab w:val="num" w:pos="851"/>
        </w:tabs>
        <w:spacing w:before="100" w:beforeAutospacing="1" w:after="100" w:afterAutospacing="1" w:line="276" w:lineRule="auto"/>
        <w:jc w:val="both"/>
        <w:rPr>
          <w:rFonts w:eastAsia="Times New Roman" w:cs="Tahoma"/>
          <w:sz w:val="22"/>
          <w:szCs w:val="22"/>
        </w:rPr>
      </w:pPr>
      <w:r w:rsidRPr="000C5171">
        <w:rPr>
          <w:rFonts w:eastAsia="Times New Roman" w:cs="Tahoma"/>
          <w:sz w:val="22"/>
          <w:szCs w:val="22"/>
        </w:rPr>
        <w:t xml:space="preserve">El documento </w:t>
      </w:r>
      <w:r w:rsidRPr="000C5171">
        <w:rPr>
          <w:rFonts w:eastAsia="Times New Roman" w:cs="Tahoma"/>
          <w:b/>
          <w:bCs/>
          <w:sz w:val="22"/>
          <w:szCs w:val="22"/>
          <w:u w:val="single"/>
        </w:rPr>
        <w:t>ANEXO</w:t>
      </w:r>
      <w:r w:rsidRPr="000C5171">
        <w:rPr>
          <w:rFonts w:eastAsia="Times New Roman" w:cs="Tahoma"/>
          <w:sz w:val="22"/>
          <w:szCs w:val="22"/>
          <w:u w:val="single"/>
        </w:rPr>
        <w:t xml:space="preserve"> 19 CONTRATOS PGN ART</w:t>
      </w:r>
      <w:r w:rsidRPr="000C5171">
        <w:rPr>
          <w:rFonts w:eastAsia="Times New Roman" w:cs="Tahoma"/>
          <w:sz w:val="22"/>
          <w:szCs w:val="22"/>
        </w:rPr>
        <w:t xml:space="preserve"> contiene: Contratos suscritos y Órdenes de compra.</w:t>
      </w:r>
    </w:p>
    <w:p w14:paraId="29CB6692" w14:textId="77777777" w:rsidR="00DE3C06" w:rsidRPr="000C5171" w:rsidRDefault="00DE3C06">
      <w:pPr>
        <w:numPr>
          <w:ilvl w:val="0"/>
          <w:numId w:val="13"/>
        </w:numPr>
        <w:tabs>
          <w:tab w:val="clear" w:pos="720"/>
          <w:tab w:val="num" w:pos="851"/>
        </w:tabs>
        <w:spacing w:before="100" w:beforeAutospacing="1" w:after="100" w:afterAutospacing="1" w:line="276" w:lineRule="auto"/>
        <w:ind w:left="426" w:hanging="142"/>
        <w:jc w:val="both"/>
        <w:rPr>
          <w:rFonts w:eastAsia="Times New Roman" w:cs="Tahoma"/>
          <w:sz w:val="22"/>
          <w:szCs w:val="22"/>
        </w:rPr>
      </w:pPr>
      <w:r w:rsidRPr="000C5171">
        <w:rPr>
          <w:rFonts w:eastAsia="Times New Roman" w:cs="Tahoma"/>
          <w:sz w:val="22"/>
          <w:szCs w:val="22"/>
        </w:rPr>
        <w:t>Archivo organizado por vigencias.</w:t>
      </w:r>
    </w:p>
    <w:p w14:paraId="7B2AB8D7" w14:textId="77777777" w:rsidR="00DE3C06" w:rsidRPr="000C5171" w:rsidRDefault="00DE3C06">
      <w:pPr>
        <w:numPr>
          <w:ilvl w:val="0"/>
          <w:numId w:val="13"/>
        </w:numPr>
        <w:tabs>
          <w:tab w:val="clear" w:pos="720"/>
          <w:tab w:val="num" w:pos="851"/>
        </w:tabs>
        <w:spacing w:before="100" w:beforeAutospacing="1" w:after="100" w:afterAutospacing="1" w:line="276" w:lineRule="auto"/>
        <w:ind w:left="426" w:hanging="142"/>
        <w:jc w:val="both"/>
        <w:rPr>
          <w:rFonts w:eastAsia="Times New Roman" w:cs="Tahoma"/>
          <w:sz w:val="22"/>
          <w:szCs w:val="22"/>
        </w:rPr>
      </w:pPr>
      <w:r w:rsidRPr="000C5171">
        <w:rPr>
          <w:rFonts w:eastAsia="Times New Roman" w:cs="Tahoma"/>
          <w:sz w:val="22"/>
          <w:szCs w:val="22"/>
        </w:rPr>
        <w:t>Cada vigencia se incluye en hojas independientes</w:t>
      </w:r>
    </w:p>
    <w:p w14:paraId="31021897" w14:textId="77777777" w:rsidR="00DE3C06" w:rsidRPr="000C5171" w:rsidRDefault="00DE3C06" w:rsidP="00DE3C06">
      <w:pPr>
        <w:tabs>
          <w:tab w:val="num" w:pos="284"/>
        </w:tabs>
        <w:spacing w:before="100" w:beforeAutospacing="1" w:after="100" w:afterAutospacing="1" w:line="276" w:lineRule="auto"/>
        <w:ind w:left="284"/>
        <w:jc w:val="both"/>
        <w:rPr>
          <w:rFonts w:eastAsia="Times New Roman" w:cs="Tahoma"/>
          <w:sz w:val="22"/>
          <w:szCs w:val="22"/>
        </w:rPr>
      </w:pPr>
      <w:r w:rsidRPr="000C5171">
        <w:rPr>
          <w:rFonts w:eastAsia="Times New Roman" w:cs="Tahoma"/>
          <w:sz w:val="22"/>
          <w:szCs w:val="22"/>
        </w:rPr>
        <w:t>Nota: 1: En el presente caso, la ART se limita a relacionar los contratos y convenios suscritos con otras entidades públicas y entidades territoriales. No obstante, la información relativa a la contratación derivada es de responsabilidad directa de dichas entidades.</w:t>
      </w:r>
    </w:p>
    <w:p w14:paraId="38761A1E" w14:textId="77777777" w:rsidR="00DE3C06" w:rsidRPr="000C5171" w:rsidRDefault="00DE3C06" w:rsidP="00DE3C06">
      <w:pPr>
        <w:tabs>
          <w:tab w:val="num" w:pos="284"/>
        </w:tabs>
        <w:spacing w:before="100" w:beforeAutospacing="1" w:after="100" w:afterAutospacing="1" w:line="276" w:lineRule="auto"/>
        <w:ind w:left="284" w:hanging="426"/>
        <w:jc w:val="both"/>
        <w:rPr>
          <w:rFonts w:eastAsia="Times New Roman" w:cs="Tahoma"/>
          <w:sz w:val="22"/>
          <w:szCs w:val="22"/>
        </w:rPr>
      </w:pPr>
      <w:r w:rsidRPr="000C5171">
        <w:rPr>
          <w:rFonts w:eastAsia="Times New Roman" w:cs="Tahoma"/>
          <w:sz w:val="22"/>
          <w:szCs w:val="22"/>
        </w:rPr>
        <w:tab/>
        <w:t>Nota 2.: El valor total reportado corresponde al valor del contrato</w:t>
      </w:r>
    </w:p>
    <w:p w14:paraId="25D4D2C2" w14:textId="77777777" w:rsidR="00DE3C06" w:rsidRPr="000C5171" w:rsidRDefault="00DE3C06">
      <w:pPr>
        <w:pStyle w:val="Prrafodelista"/>
        <w:numPr>
          <w:ilvl w:val="2"/>
          <w:numId w:val="18"/>
        </w:numPr>
        <w:spacing w:before="100" w:beforeAutospacing="1" w:after="100" w:afterAutospacing="1" w:line="276" w:lineRule="auto"/>
        <w:ind w:left="0" w:firstLine="0"/>
        <w:rPr>
          <w:rFonts w:eastAsia="Times New Roman" w:cs="Tahoma"/>
          <w:color w:val="0070C0"/>
          <w:sz w:val="22"/>
          <w:szCs w:val="22"/>
        </w:rPr>
      </w:pPr>
      <w:r w:rsidRPr="000C5171">
        <w:rPr>
          <w:rFonts w:eastAsia="Times New Roman" w:cs="Tahoma"/>
          <w:color w:val="0070C0"/>
          <w:sz w:val="22"/>
          <w:szCs w:val="22"/>
        </w:rPr>
        <w:t>Contratos ART – FONDO COLOMBIA EN PAZ (FCP)</w:t>
      </w:r>
    </w:p>
    <w:p w14:paraId="70A6187E" w14:textId="77777777" w:rsidR="00DE3C06" w:rsidRPr="000C5171" w:rsidRDefault="00DE3C06" w:rsidP="00DE3C06">
      <w:pPr>
        <w:spacing w:line="276" w:lineRule="auto"/>
        <w:jc w:val="both"/>
        <w:rPr>
          <w:rFonts w:eastAsia="Times New Roman" w:cs="Tahoma"/>
          <w:sz w:val="22"/>
          <w:szCs w:val="22"/>
        </w:rPr>
      </w:pPr>
      <w:r w:rsidRPr="000C5171">
        <w:rPr>
          <w:rFonts w:eastAsia="Times New Roman" w:cs="Tahoma"/>
          <w:sz w:val="22"/>
          <w:szCs w:val="22"/>
        </w:rPr>
        <w:t xml:space="preserve">La información oficial sobre los contratos suscritos por el Fondo Colombia en Paz —patrimonio autónomo adscrito al Departamento Administrativo de la Presidencia de la República (DAPRE)— reposa en las bases de datos de dicho patrimonio. </w:t>
      </w:r>
    </w:p>
    <w:p w14:paraId="2F068692" w14:textId="77777777" w:rsidR="00DE3C06" w:rsidRPr="000C5171" w:rsidRDefault="00DE3C06" w:rsidP="00DE3C06">
      <w:pPr>
        <w:spacing w:line="276" w:lineRule="auto"/>
        <w:jc w:val="both"/>
        <w:rPr>
          <w:rFonts w:eastAsia="Times New Roman" w:cs="Tahoma"/>
          <w:sz w:val="22"/>
          <w:szCs w:val="22"/>
        </w:rPr>
      </w:pPr>
      <w:r w:rsidRPr="000C5171">
        <w:rPr>
          <w:rFonts w:eastAsia="Times New Roman" w:cs="Tahoma"/>
          <w:sz w:val="22"/>
          <w:szCs w:val="22"/>
        </w:rPr>
        <w:t xml:space="preserve">En virtud de la Circular 0008-4 (Proceso de Empalme Rama Ejecutiva del Orden Nacional 2026), mediante memorando </w:t>
      </w:r>
      <w:proofErr w:type="spellStart"/>
      <w:r w:rsidRPr="000C5171">
        <w:rPr>
          <w:rFonts w:eastAsia="Times New Roman" w:cs="Tahoma"/>
          <w:sz w:val="22"/>
          <w:szCs w:val="22"/>
        </w:rPr>
        <w:t>N.°</w:t>
      </w:r>
      <w:proofErr w:type="spellEnd"/>
      <w:r w:rsidRPr="000C5171">
        <w:rPr>
          <w:rFonts w:eastAsia="Times New Roman" w:cs="Tahoma"/>
          <w:sz w:val="22"/>
          <w:szCs w:val="22"/>
        </w:rPr>
        <w:t xml:space="preserve"> 20262600104911, radicado con No. 2026-15000000.2130-</w:t>
      </w:r>
      <w:r w:rsidRPr="000C5171">
        <w:rPr>
          <w:rFonts w:eastAsia="Times New Roman" w:cs="Tahoma"/>
          <w:sz w:val="22"/>
          <w:szCs w:val="22"/>
        </w:rPr>
        <w:lastRenderedPageBreak/>
        <w:t xml:space="preserve">6952-3 de fecha 3 de julio de 2026 (anexo al presente), se requirieron al Fondo los insumos necesarios para la elaboración del presente informe. No obstante, al no haberse remitido la información actualizada, en el documento titulado </w:t>
      </w:r>
      <w:r w:rsidRPr="000C5171">
        <w:rPr>
          <w:rFonts w:eastAsia="Times New Roman" w:cs="Tahoma"/>
          <w:b/>
          <w:bCs/>
          <w:sz w:val="22"/>
          <w:szCs w:val="22"/>
          <w:u w:val="single"/>
        </w:rPr>
        <w:t>ANEXO</w:t>
      </w:r>
      <w:r w:rsidRPr="000C5171">
        <w:rPr>
          <w:rFonts w:eastAsia="Times New Roman" w:cs="Tahoma"/>
          <w:sz w:val="22"/>
          <w:szCs w:val="22"/>
          <w:u w:val="single"/>
        </w:rPr>
        <w:t xml:space="preserve"> 20 CONTRATOS FCP ART</w:t>
      </w:r>
      <w:r w:rsidRPr="000C5171">
        <w:rPr>
          <w:rFonts w:eastAsia="Times New Roman" w:cs="Tahoma"/>
          <w:sz w:val="22"/>
          <w:szCs w:val="22"/>
        </w:rPr>
        <w:t xml:space="preserve"> se incluye, consolidada en un único archivo y con corte al 30 de marzo de 2026, el cual se actualiza periódicamente por parte del FCP. La información de seguimiento que obra en la ART es respecto de los procesos contractuales adelantados entre 2022 y 2026.</w:t>
      </w:r>
    </w:p>
    <w:p w14:paraId="28655EFD" w14:textId="77777777" w:rsidR="00DE3C06" w:rsidRPr="000C5171" w:rsidRDefault="00DE3C06" w:rsidP="00DE3C06">
      <w:pPr>
        <w:pStyle w:val="Ttulo1"/>
        <w:spacing w:line="276" w:lineRule="auto"/>
        <w:rPr>
          <w:rFonts w:cs="Tahoma"/>
        </w:rPr>
      </w:pPr>
      <w:bookmarkStart w:id="34" w:name="_Toc234168097"/>
      <w:r w:rsidRPr="000C5171">
        <w:rPr>
          <w:rStyle w:val="SubttuloCar"/>
          <w:rFonts w:cs="Tahoma"/>
          <w:b/>
          <w:bCs/>
        </w:rPr>
        <w:t>7.10 Créditos externos en ejecución</w:t>
      </w:r>
      <w:r w:rsidRPr="000C5171">
        <w:rPr>
          <w:rFonts w:cs="Tahoma"/>
          <w:color w:val="0070C0"/>
        </w:rPr>
        <w:br/>
      </w:r>
      <w:r w:rsidRPr="000C5171">
        <w:rPr>
          <w:rFonts w:eastAsiaTheme="minorHAnsi" w:cs="Tahoma"/>
          <w:color w:val="auto"/>
          <w:lang w:val="es-ES"/>
        </w:rPr>
        <w:t>Este ítem no aplica a la ART-PDET.</w:t>
      </w:r>
      <w:bookmarkEnd w:id="34"/>
    </w:p>
    <w:p w14:paraId="53F9E27B" w14:textId="77777777" w:rsidR="00DE3C06" w:rsidRPr="000C5171" w:rsidRDefault="00DE3C06" w:rsidP="00DE3C06">
      <w:pPr>
        <w:spacing w:after="0" w:line="276" w:lineRule="auto"/>
        <w:ind w:firstLine="708"/>
        <w:jc w:val="both"/>
        <w:rPr>
          <w:rFonts w:cs="Tahoma"/>
          <w:sz w:val="22"/>
          <w:szCs w:val="22"/>
        </w:rPr>
      </w:pPr>
    </w:p>
    <w:p w14:paraId="347268F8" w14:textId="77777777" w:rsidR="00DE3C06" w:rsidRPr="000C5171" w:rsidRDefault="00DE3C06" w:rsidP="00DE3C06">
      <w:pPr>
        <w:pStyle w:val="Ttulo1"/>
        <w:spacing w:line="276" w:lineRule="auto"/>
        <w:rPr>
          <w:rFonts w:cs="Tahoma"/>
          <w:color w:val="0070C0"/>
        </w:rPr>
      </w:pPr>
      <w:bookmarkStart w:id="35" w:name="_Toc234168098"/>
      <w:r w:rsidRPr="000C5171">
        <w:rPr>
          <w:rFonts w:cs="Tahoma"/>
          <w:color w:val="0070C0"/>
        </w:rPr>
        <w:t>7.11 Créditos externos en proceso de estructuración</w:t>
      </w:r>
      <w:bookmarkEnd w:id="35"/>
    </w:p>
    <w:p w14:paraId="2431B53B" w14:textId="77777777" w:rsidR="00DE3C06" w:rsidRPr="000C5171" w:rsidRDefault="00DE3C06" w:rsidP="00DE3C06">
      <w:pPr>
        <w:spacing w:line="276" w:lineRule="auto"/>
        <w:jc w:val="both"/>
        <w:rPr>
          <w:rFonts w:cs="Tahoma"/>
          <w:sz w:val="22"/>
          <w:szCs w:val="22"/>
        </w:rPr>
      </w:pPr>
      <w:r w:rsidRPr="000C5171">
        <w:rPr>
          <w:rFonts w:cs="Tahoma"/>
          <w:sz w:val="22"/>
          <w:szCs w:val="22"/>
        </w:rPr>
        <w:t>Este ítem no aplica a la ART-PDET.</w:t>
      </w:r>
    </w:p>
    <w:p w14:paraId="220268AF" w14:textId="77777777" w:rsidR="00DE3C06" w:rsidRPr="000C5171" w:rsidRDefault="00DE3C06" w:rsidP="00DE3C06">
      <w:pPr>
        <w:pStyle w:val="Ttulo1"/>
        <w:spacing w:line="276" w:lineRule="auto"/>
        <w:ind w:firstLine="708"/>
        <w:rPr>
          <w:rFonts w:cs="Tahoma"/>
        </w:rPr>
      </w:pPr>
    </w:p>
    <w:p w14:paraId="5176C9A8" w14:textId="77777777" w:rsidR="00DE3C06" w:rsidRPr="000C5171" w:rsidRDefault="00DE3C06">
      <w:pPr>
        <w:pStyle w:val="Ttulo1"/>
        <w:numPr>
          <w:ilvl w:val="0"/>
          <w:numId w:val="2"/>
        </w:numPr>
        <w:spacing w:line="276" w:lineRule="auto"/>
        <w:ind w:left="0" w:firstLine="0"/>
        <w:rPr>
          <w:rFonts w:cs="Tahoma"/>
        </w:rPr>
      </w:pPr>
      <w:bookmarkStart w:id="36" w:name="_Toc234168099"/>
      <w:r w:rsidRPr="000C5171">
        <w:rPr>
          <w:rFonts w:cs="Tahoma"/>
        </w:rPr>
        <w:t>PROGRAMAS, ESTUDIOS, PROYECTOS Y OBRAS PÚBLICAS</w:t>
      </w:r>
      <w:bookmarkEnd w:id="36"/>
      <w:r w:rsidRPr="000C5171">
        <w:rPr>
          <w:rFonts w:cs="Tahoma"/>
        </w:rPr>
        <w:tab/>
      </w:r>
    </w:p>
    <w:p w14:paraId="552301D4" w14:textId="77777777" w:rsidR="00DE3C06" w:rsidRPr="000C5171" w:rsidRDefault="00DE3C06" w:rsidP="00DE3C06">
      <w:pPr>
        <w:pStyle w:val="Ttulo1"/>
        <w:spacing w:line="276" w:lineRule="auto"/>
        <w:rPr>
          <w:rFonts w:eastAsia="Nunito" w:cs="Tahoma"/>
          <w:color w:val="0070C0"/>
        </w:rPr>
      </w:pPr>
      <w:bookmarkStart w:id="37" w:name="_Toc234168100"/>
      <w:r w:rsidRPr="000C5171">
        <w:rPr>
          <w:rFonts w:cs="Tahoma"/>
          <w:color w:val="0070C0"/>
        </w:rPr>
        <w:t>8.1 Programas</w:t>
      </w:r>
      <w:bookmarkEnd w:id="37"/>
    </w:p>
    <w:p w14:paraId="3B0A0D04" w14:textId="77777777" w:rsidR="00DE3C06" w:rsidRPr="000C5171" w:rsidRDefault="00DE3C06" w:rsidP="00DE3C06">
      <w:pPr>
        <w:spacing w:line="276" w:lineRule="auto"/>
        <w:jc w:val="both"/>
        <w:rPr>
          <w:rFonts w:cs="Tahoma"/>
          <w:sz w:val="22"/>
          <w:szCs w:val="22"/>
        </w:rPr>
      </w:pPr>
      <w:r w:rsidRPr="000C5171">
        <w:rPr>
          <w:rFonts w:cs="Tahoma"/>
          <w:sz w:val="22"/>
          <w:szCs w:val="22"/>
        </w:rPr>
        <w:t>Este ítem no aplica a la ART-PDET.</w:t>
      </w:r>
    </w:p>
    <w:p w14:paraId="0BA2149E" w14:textId="77777777" w:rsidR="00DE3C06" w:rsidRPr="000C5171" w:rsidRDefault="00DE3C06" w:rsidP="00DE3C06">
      <w:pPr>
        <w:pStyle w:val="Ttulo1"/>
        <w:spacing w:line="276" w:lineRule="auto"/>
        <w:rPr>
          <w:rFonts w:eastAsia="Nunito" w:cs="Tahoma"/>
          <w:color w:val="0070C0"/>
        </w:rPr>
      </w:pPr>
      <w:bookmarkStart w:id="38" w:name="_Toc234168101"/>
      <w:r w:rsidRPr="000C5171">
        <w:rPr>
          <w:rFonts w:cs="Tahoma"/>
          <w:color w:val="0070C0"/>
        </w:rPr>
        <w:t>8.2 Estudios</w:t>
      </w:r>
      <w:bookmarkEnd w:id="38"/>
    </w:p>
    <w:p w14:paraId="63FDB3C8" w14:textId="77777777" w:rsidR="00DE3C06" w:rsidRPr="000C5171" w:rsidRDefault="00DE3C06" w:rsidP="00DE3C06">
      <w:pPr>
        <w:spacing w:line="276" w:lineRule="auto"/>
        <w:jc w:val="both"/>
        <w:rPr>
          <w:rFonts w:cs="Tahoma"/>
          <w:sz w:val="22"/>
          <w:szCs w:val="22"/>
        </w:rPr>
      </w:pPr>
      <w:r w:rsidRPr="000C5171">
        <w:rPr>
          <w:rFonts w:cs="Tahoma"/>
          <w:sz w:val="22"/>
          <w:szCs w:val="22"/>
        </w:rPr>
        <w:t xml:space="preserve">Se considera importante evidenciar los estudios, investigaciones y evaluaciones que realiza la ART en el marco del </w:t>
      </w:r>
      <w:r w:rsidRPr="000C5171">
        <w:rPr>
          <w:rFonts w:cs="Tahoma"/>
          <w:b/>
          <w:bCs/>
          <w:sz w:val="22"/>
          <w:szCs w:val="22"/>
        </w:rPr>
        <w:t>seguimiento y evaluación a la implementación de los PDET</w:t>
      </w:r>
      <w:r w:rsidRPr="000C5171">
        <w:rPr>
          <w:rFonts w:cs="Tahoma"/>
          <w:sz w:val="22"/>
          <w:szCs w:val="22"/>
        </w:rPr>
        <w:t xml:space="preserve"> los cuales se encuentran disponibles en la Central PDET.</w:t>
      </w:r>
    </w:p>
    <w:p w14:paraId="16E6FD50" w14:textId="77777777" w:rsidR="00DE3C06" w:rsidRPr="000C5171" w:rsidRDefault="00DE3C06" w:rsidP="00DE3C06">
      <w:pPr>
        <w:spacing w:line="276" w:lineRule="auto"/>
        <w:jc w:val="both"/>
        <w:rPr>
          <w:rFonts w:cs="Tahoma"/>
          <w:sz w:val="22"/>
          <w:szCs w:val="22"/>
        </w:rPr>
      </w:pPr>
      <w:r w:rsidRPr="000C5171">
        <w:rPr>
          <w:rFonts w:cs="Tahoma"/>
          <w:sz w:val="22"/>
          <w:szCs w:val="22"/>
        </w:rPr>
        <w:t>La gestión se ha centrado primordialmente en el seguimiento técnico a la implementación de los PDET (incluyendo las 16 fichas de reporte anual), la evaluación del impacto de mecanismos de financiación como Obras por Impuestos y el análisis de enfoques sociales clave como la Economía del Cuidado y la seguridad alimentaria.</w:t>
      </w:r>
    </w:p>
    <w:p w14:paraId="3690B0FE" w14:textId="77777777" w:rsidR="00DE3C06" w:rsidRPr="000C5171" w:rsidRDefault="00DE3C06" w:rsidP="00DE3C06">
      <w:pPr>
        <w:spacing w:line="276" w:lineRule="auto"/>
        <w:jc w:val="both"/>
        <w:rPr>
          <w:rFonts w:cs="Tahoma"/>
          <w:sz w:val="22"/>
          <w:szCs w:val="22"/>
        </w:rPr>
      </w:pPr>
      <w:r w:rsidRPr="000C5171">
        <w:rPr>
          <w:rFonts w:cs="Tahoma"/>
          <w:sz w:val="22"/>
          <w:szCs w:val="22"/>
        </w:rPr>
        <w:lastRenderedPageBreak/>
        <w:t xml:space="preserve">El balance de </w:t>
      </w:r>
      <w:proofErr w:type="gramStart"/>
      <w:r w:rsidRPr="000C5171">
        <w:rPr>
          <w:rFonts w:cs="Tahoma"/>
          <w:sz w:val="22"/>
          <w:szCs w:val="22"/>
        </w:rPr>
        <w:t>gestión,</w:t>
      </w:r>
      <w:proofErr w:type="gramEnd"/>
      <w:r w:rsidRPr="000C5171">
        <w:rPr>
          <w:rFonts w:cs="Tahoma"/>
          <w:sz w:val="22"/>
          <w:szCs w:val="22"/>
        </w:rPr>
        <w:t xml:space="preserve"> presenta Estudios realizados desde la dependencia misional de la ART: </w:t>
      </w:r>
      <w:proofErr w:type="spellStart"/>
      <w:r w:rsidRPr="000C5171">
        <w:rPr>
          <w:rFonts w:cs="Tahoma"/>
          <w:sz w:val="22"/>
          <w:szCs w:val="22"/>
        </w:rPr>
        <w:t>Direccion</w:t>
      </w:r>
      <w:proofErr w:type="spellEnd"/>
      <w:r w:rsidRPr="000C5171">
        <w:rPr>
          <w:rFonts w:cs="Tahoma"/>
          <w:sz w:val="22"/>
          <w:szCs w:val="22"/>
        </w:rPr>
        <w:t xml:space="preserve"> de Información y Prospectiva (DIPRO) de la ART, entre 2023 y 2026, ver el </w:t>
      </w:r>
      <w:r w:rsidRPr="000C5171">
        <w:rPr>
          <w:rFonts w:eastAsia="Arial" w:cs="Tahoma"/>
          <w:b/>
          <w:bCs/>
          <w:sz w:val="22"/>
          <w:szCs w:val="22"/>
          <w:u w:val="single"/>
        </w:rPr>
        <w:t>ANEXO</w:t>
      </w:r>
      <w:r w:rsidRPr="000C5171">
        <w:rPr>
          <w:rFonts w:cs="Tahoma"/>
          <w:b/>
          <w:bCs/>
          <w:sz w:val="22"/>
          <w:szCs w:val="22"/>
        </w:rPr>
        <w:t xml:space="preserve"> 21</w:t>
      </w:r>
      <w:r w:rsidRPr="000C5171">
        <w:rPr>
          <w:rFonts w:cs="Tahoma"/>
          <w:sz w:val="22"/>
          <w:szCs w:val="22"/>
        </w:rPr>
        <w:t xml:space="preserve"> Estudios, en donde se refleja un desempeño institucional sólido y de alta eficiencia, con un cumplimiento total en 10 de los 12 estudios reportados. Los dos estudios en desarrollo, con fecha s de terminación en 2026 son:</w:t>
      </w:r>
    </w:p>
    <w:p w14:paraId="67E2CC53" w14:textId="77777777" w:rsidR="00DE3C06" w:rsidRPr="000C5171" w:rsidRDefault="00DE3C06" w:rsidP="00DE3C06">
      <w:pPr>
        <w:spacing w:line="276" w:lineRule="auto"/>
        <w:jc w:val="center"/>
        <w:rPr>
          <w:rFonts w:cs="Arial"/>
          <w:sz w:val="22"/>
          <w:szCs w:val="22"/>
          <w:highlight w:val="yellow"/>
        </w:rPr>
      </w:pPr>
      <w:r w:rsidRPr="000C5171">
        <w:rPr>
          <w:rFonts w:cs="Arial"/>
          <w:b/>
          <w:bCs/>
          <w:sz w:val="22"/>
          <w:szCs w:val="22"/>
        </w:rPr>
        <w:t xml:space="preserve">Tabla 14. </w:t>
      </w:r>
      <w:r w:rsidRPr="000C5171">
        <w:rPr>
          <w:rFonts w:cs="Arial"/>
          <w:sz w:val="22"/>
          <w:szCs w:val="22"/>
        </w:rPr>
        <w:t>Estudios en ejecución 2026</w:t>
      </w:r>
    </w:p>
    <w:tbl>
      <w:tblPr>
        <w:tblStyle w:val="Tablaconcuadrcula6concolores-nfasis34"/>
        <w:tblW w:w="0" w:type="auto"/>
        <w:tblInd w:w="0"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598"/>
        <w:gridCol w:w="1666"/>
        <w:gridCol w:w="1340"/>
        <w:gridCol w:w="1133"/>
        <w:gridCol w:w="2091"/>
      </w:tblGrid>
      <w:tr w:rsidR="00DE3C06" w:rsidRPr="002C7287" w14:paraId="39386F3C" w14:textId="77777777" w:rsidTr="008A49D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76" w:type="dxa"/>
            <w:vMerge w:val="restart"/>
            <w:tcBorders>
              <w:top w:val="single" w:sz="4" w:space="0" w:color="auto"/>
              <w:left w:val="single" w:sz="4" w:space="0" w:color="auto"/>
              <w:bottom w:val="single" w:sz="4" w:space="0" w:color="47D459" w:themeColor="accent3" w:themeTint="99"/>
              <w:right w:val="single" w:sz="4" w:space="0" w:color="47D459" w:themeColor="accent3" w:themeTint="99"/>
            </w:tcBorders>
            <w:tcMar>
              <w:top w:w="0" w:type="dxa"/>
              <w:left w:w="105" w:type="dxa"/>
              <w:bottom w:w="0" w:type="dxa"/>
              <w:right w:w="105" w:type="dxa"/>
            </w:tcMar>
            <w:hideMark/>
          </w:tcPr>
          <w:p w14:paraId="02C57402" w14:textId="77777777" w:rsidR="00DE3C06" w:rsidRPr="002C7287" w:rsidRDefault="00DE3C06" w:rsidP="008A49D0">
            <w:pPr>
              <w:rPr>
                <w:rFonts w:asciiTheme="minorHAnsi" w:hAnsiTheme="minorHAnsi" w:cs="Arial"/>
                <w:color w:val="275317" w:themeColor="accent6" w:themeShade="80"/>
                <w:sz w:val="20"/>
                <w:szCs w:val="20"/>
              </w:rPr>
            </w:pPr>
            <w:r w:rsidRPr="002C7287">
              <w:rPr>
                <w:rFonts w:asciiTheme="minorHAnsi" w:hAnsiTheme="minorHAnsi" w:cs="Arial"/>
                <w:color w:val="275317" w:themeColor="accent6" w:themeShade="80"/>
                <w:sz w:val="20"/>
                <w:szCs w:val="20"/>
                <w:lang w:val="es-CO"/>
              </w:rPr>
              <w:t>Denominación</w:t>
            </w:r>
          </w:p>
        </w:tc>
        <w:tc>
          <w:tcPr>
            <w:tcW w:w="1698" w:type="dxa"/>
            <w:vMerge w:val="restart"/>
            <w:tcBorders>
              <w:top w:val="single" w:sz="4" w:space="0" w:color="auto"/>
              <w:left w:val="single" w:sz="4" w:space="0" w:color="47D459" w:themeColor="accent3" w:themeTint="99"/>
              <w:bottom w:val="single" w:sz="4" w:space="0" w:color="47D459" w:themeColor="accent3" w:themeTint="99"/>
              <w:right w:val="single" w:sz="4" w:space="0" w:color="47D459" w:themeColor="accent3" w:themeTint="99"/>
            </w:tcBorders>
            <w:tcMar>
              <w:top w:w="0" w:type="dxa"/>
              <w:left w:w="105" w:type="dxa"/>
              <w:bottom w:w="0" w:type="dxa"/>
              <w:right w:w="105" w:type="dxa"/>
            </w:tcMar>
            <w:hideMark/>
          </w:tcPr>
          <w:p w14:paraId="6C001AC2" w14:textId="77777777" w:rsidR="00DE3C06" w:rsidRPr="002C7287" w:rsidRDefault="00DE3C06" w:rsidP="008A49D0">
            <w:pPr>
              <w:cnfStyle w:val="100000000000" w:firstRow="1" w:lastRow="0" w:firstColumn="0" w:lastColumn="0" w:oddVBand="0" w:evenVBand="0" w:oddHBand="0" w:evenHBand="0" w:firstRowFirstColumn="0" w:firstRowLastColumn="0" w:lastRowFirstColumn="0" w:lastRowLastColumn="0"/>
              <w:rPr>
                <w:rFonts w:asciiTheme="minorHAnsi" w:hAnsiTheme="minorHAnsi" w:cs="Arial"/>
                <w:color w:val="275317" w:themeColor="accent6" w:themeShade="80"/>
                <w:sz w:val="20"/>
                <w:szCs w:val="20"/>
              </w:rPr>
            </w:pPr>
            <w:r w:rsidRPr="002C7287">
              <w:rPr>
                <w:rFonts w:asciiTheme="minorHAnsi" w:hAnsiTheme="minorHAnsi" w:cs="Arial"/>
                <w:color w:val="275317" w:themeColor="accent6" w:themeShade="80"/>
                <w:sz w:val="20"/>
                <w:szCs w:val="20"/>
                <w:lang w:val="es-CO"/>
              </w:rPr>
              <w:t>Descripción (Incluir fecha de inicio y de cierre, o estimación de cierre)</w:t>
            </w:r>
          </w:p>
        </w:tc>
        <w:tc>
          <w:tcPr>
            <w:tcW w:w="2503" w:type="dxa"/>
            <w:gridSpan w:val="2"/>
            <w:tcBorders>
              <w:top w:val="single" w:sz="4" w:space="0" w:color="auto"/>
              <w:left w:val="single" w:sz="4" w:space="0" w:color="47D459" w:themeColor="accent3" w:themeTint="99"/>
              <w:bottom w:val="single" w:sz="12" w:space="0" w:color="C9C9C9"/>
              <w:right w:val="single" w:sz="4" w:space="0" w:color="47D459" w:themeColor="accent3" w:themeTint="99"/>
            </w:tcBorders>
            <w:tcMar>
              <w:top w:w="0" w:type="dxa"/>
              <w:left w:w="105" w:type="dxa"/>
              <w:bottom w:w="0" w:type="dxa"/>
              <w:right w:w="105" w:type="dxa"/>
            </w:tcMar>
            <w:hideMark/>
          </w:tcPr>
          <w:p w14:paraId="5B0F80DC" w14:textId="77777777" w:rsidR="00DE3C06" w:rsidRPr="002C7287" w:rsidRDefault="00DE3C06" w:rsidP="008A49D0">
            <w:pPr>
              <w:cnfStyle w:val="100000000000" w:firstRow="1" w:lastRow="0" w:firstColumn="0" w:lastColumn="0" w:oddVBand="0" w:evenVBand="0" w:oddHBand="0" w:evenHBand="0" w:firstRowFirstColumn="0" w:firstRowLastColumn="0" w:lastRowFirstColumn="0" w:lastRowLastColumn="0"/>
              <w:rPr>
                <w:rFonts w:asciiTheme="minorHAnsi" w:hAnsiTheme="minorHAnsi" w:cs="Arial"/>
                <w:color w:val="275317" w:themeColor="accent6" w:themeShade="80"/>
                <w:sz w:val="20"/>
                <w:szCs w:val="20"/>
              </w:rPr>
            </w:pPr>
            <w:r w:rsidRPr="002C7287">
              <w:rPr>
                <w:rFonts w:asciiTheme="minorHAnsi" w:hAnsiTheme="minorHAnsi" w:cs="Arial"/>
                <w:color w:val="275317" w:themeColor="accent6" w:themeShade="80"/>
                <w:sz w:val="20"/>
                <w:szCs w:val="20"/>
                <w:lang w:val="es-CO"/>
              </w:rPr>
              <w:t>Estado</w:t>
            </w:r>
          </w:p>
        </w:tc>
        <w:tc>
          <w:tcPr>
            <w:tcW w:w="2133" w:type="dxa"/>
            <w:vMerge w:val="restart"/>
            <w:tcBorders>
              <w:top w:val="single" w:sz="4" w:space="0" w:color="auto"/>
              <w:left w:val="single" w:sz="4" w:space="0" w:color="47D459" w:themeColor="accent3" w:themeTint="99"/>
              <w:bottom w:val="single" w:sz="4" w:space="0" w:color="47D459" w:themeColor="accent3" w:themeTint="99"/>
              <w:right w:val="single" w:sz="4" w:space="0" w:color="auto"/>
            </w:tcBorders>
            <w:tcMar>
              <w:top w:w="0" w:type="dxa"/>
              <w:left w:w="105" w:type="dxa"/>
              <w:bottom w:w="0" w:type="dxa"/>
              <w:right w:w="105" w:type="dxa"/>
            </w:tcMar>
            <w:hideMark/>
          </w:tcPr>
          <w:p w14:paraId="7CCF568E" w14:textId="77777777" w:rsidR="00DE3C06" w:rsidRPr="002C7287" w:rsidRDefault="00DE3C06" w:rsidP="008A49D0">
            <w:pPr>
              <w:cnfStyle w:val="100000000000" w:firstRow="1" w:lastRow="0" w:firstColumn="0" w:lastColumn="0" w:oddVBand="0" w:evenVBand="0" w:oddHBand="0" w:evenHBand="0" w:firstRowFirstColumn="0" w:firstRowLastColumn="0" w:lastRowFirstColumn="0" w:lastRowLastColumn="0"/>
              <w:rPr>
                <w:rFonts w:asciiTheme="minorHAnsi" w:hAnsiTheme="minorHAnsi" w:cs="Arial"/>
                <w:color w:val="275317" w:themeColor="accent6" w:themeShade="80"/>
                <w:sz w:val="20"/>
                <w:szCs w:val="20"/>
              </w:rPr>
            </w:pPr>
            <w:r w:rsidRPr="002C7287">
              <w:rPr>
                <w:rFonts w:asciiTheme="minorHAnsi" w:hAnsiTheme="minorHAnsi" w:cs="Arial"/>
                <w:color w:val="275317" w:themeColor="accent6" w:themeShade="80"/>
                <w:sz w:val="20"/>
                <w:szCs w:val="20"/>
                <w:lang w:val="es-CO"/>
              </w:rPr>
              <w:t>Valor asignado</w:t>
            </w:r>
          </w:p>
        </w:tc>
      </w:tr>
      <w:tr w:rsidR="00DE3C06" w:rsidRPr="002C7287" w14:paraId="0264D04C" w14:textId="77777777" w:rsidTr="008A49D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left w:val="single" w:sz="4" w:space="0" w:color="auto"/>
              <w:bottom w:val="single" w:sz="4" w:space="0" w:color="47D459" w:themeColor="accent3" w:themeTint="99"/>
              <w:right w:val="single" w:sz="4" w:space="0" w:color="47D459" w:themeColor="accent3" w:themeTint="99"/>
            </w:tcBorders>
            <w:vAlign w:val="center"/>
            <w:hideMark/>
          </w:tcPr>
          <w:p w14:paraId="45102F22" w14:textId="77777777" w:rsidR="00DE3C06" w:rsidRPr="002C7287" w:rsidRDefault="00DE3C06" w:rsidP="008A49D0">
            <w:pPr>
              <w:rPr>
                <w:rFonts w:asciiTheme="minorHAnsi" w:hAnsiTheme="minorHAnsi" w:cs="Arial"/>
                <w:color w:val="275317" w:themeColor="accent6" w:themeShade="80"/>
                <w:sz w:val="20"/>
                <w:szCs w:val="20"/>
              </w:rPr>
            </w:pPr>
          </w:p>
        </w:tc>
        <w:tc>
          <w:tcPr>
            <w:tcW w:w="0" w:type="auto"/>
            <w:vMerge/>
            <w:tc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tcBorders>
            <w:vAlign w:val="center"/>
            <w:hideMark/>
          </w:tcPr>
          <w:p w14:paraId="18ECF921" w14:textId="77777777" w:rsidR="00DE3C06" w:rsidRPr="002C7287" w:rsidRDefault="00DE3C06" w:rsidP="008A49D0">
            <w:pPr>
              <w:cnfStyle w:val="000000100000" w:firstRow="0" w:lastRow="0" w:firstColumn="0" w:lastColumn="0" w:oddVBand="0" w:evenVBand="0" w:oddHBand="1" w:evenHBand="0" w:firstRowFirstColumn="0" w:firstRowLastColumn="0" w:lastRowFirstColumn="0" w:lastRowLastColumn="0"/>
              <w:rPr>
                <w:rFonts w:asciiTheme="minorHAnsi" w:hAnsiTheme="minorHAnsi" w:cs="Arial"/>
                <w:bCs/>
                <w:color w:val="275317" w:themeColor="accent6" w:themeShade="80"/>
                <w:sz w:val="20"/>
                <w:szCs w:val="20"/>
              </w:rPr>
            </w:pPr>
          </w:p>
        </w:tc>
        <w:tc>
          <w:tcPr>
            <w:tcW w:w="1363" w:type="dxa"/>
            <w:tcBorders>
              <w:top w:val="single" w:sz="4" w:space="0" w:color="47D459" w:themeColor="accent3" w:themeTint="99"/>
              <w:left w:val="single" w:sz="4" w:space="0" w:color="47D459" w:themeColor="accent3" w:themeTint="99"/>
              <w:bottom w:val="single" w:sz="12" w:space="0" w:color="47D459" w:themeColor="accent3" w:themeTint="99"/>
              <w:right w:val="single" w:sz="4" w:space="0" w:color="47D459" w:themeColor="accent3" w:themeTint="99"/>
            </w:tcBorders>
            <w:tcMar>
              <w:top w:w="0" w:type="dxa"/>
              <w:left w:w="105" w:type="dxa"/>
              <w:bottom w:w="0" w:type="dxa"/>
              <w:right w:w="105" w:type="dxa"/>
            </w:tcMar>
            <w:hideMark/>
          </w:tcPr>
          <w:p w14:paraId="561E2F4B" w14:textId="77777777" w:rsidR="00DE3C06" w:rsidRPr="002C7287" w:rsidRDefault="00DE3C06" w:rsidP="008A49D0">
            <w:pP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275317" w:themeColor="accent6" w:themeShade="80"/>
                <w:sz w:val="20"/>
                <w:szCs w:val="20"/>
              </w:rPr>
            </w:pPr>
            <w:r w:rsidRPr="002C7287">
              <w:rPr>
                <w:rFonts w:asciiTheme="minorHAnsi" w:hAnsiTheme="minorHAnsi" w:cs="Arial"/>
                <w:color w:val="275317" w:themeColor="accent6" w:themeShade="80"/>
                <w:sz w:val="20"/>
                <w:szCs w:val="20"/>
                <w:lang w:val="es-CO"/>
              </w:rPr>
              <w:t>Ejecutado</w:t>
            </w:r>
          </w:p>
        </w:tc>
        <w:tc>
          <w:tcPr>
            <w:tcW w:w="1140" w:type="dxa"/>
            <w:tcBorders>
              <w:top w:val="single" w:sz="4" w:space="0" w:color="47D459" w:themeColor="accent3" w:themeTint="99"/>
              <w:left w:val="single" w:sz="4" w:space="0" w:color="47D459" w:themeColor="accent3" w:themeTint="99"/>
              <w:bottom w:val="single" w:sz="12" w:space="0" w:color="47D459" w:themeColor="accent3" w:themeTint="99"/>
              <w:right w:val="single" w:sz="4" w:space="0" w:color="47D459" w:themeColor="accent3" w:themeTint="99"/>
            </w:tcBorders>
            <w:tcMar>
              <w:top w:w="0" w:type="dxa"/>
              <w:left w:w="105" w:type="dxa"/>
              <w:bottom w:w="0" w:type="dxa"/>
              <w:right w:w="105" w:type="dxa"/>
            </w:tcMar>
            <w:hideMark/>
          </w:tcPr>
          <w:p w14:paraId="5F0934F3" w14:textId="77777777" w:rsidR="00DE3C06" w:rsidRPr="002C7287" w:rsidRDefault="00DE3C06" w:rsidP="008A49D0">
            <w:pP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275317" w:themeColor="accent6" w:themeShade="80"/>
                <w:sz w:val="20"/>
                <w:szCs w:val="20"/>
              </w:rPr>
            </w:pPr>
            <w:r w:rsidRPr="002C7287">
              <w:rPr>
                <w:rFonts w:asciiTheme="minorHAnsi" w:hAnsiTheme="minorHAnsi" w:cs="Arial"/>
                <w:color w:val="275317" w:themeColor="accent6" w:themeShade="80"/>
                <w:sz w:val="20"/>
                <w:szCs w:val="20"/>
                <w:lang w:val="es-CO"/>
              </w:rPr>
              <w:t>% de ejecución</w:t>
            </w:r>
          </w:p>
        </w:tc>
        <w:tc>
          <w:tcPr>
            <w:tcW w:w="0" w:type="auto"/>
            <w:vMerge/>
            <w:tcBorders>
              <w:top w:val="single" w:sz="4" w:space="0" w:color="auto"/>
              <w:left w:val="single" w:sz="4" w:space="0" w:color="47D459" w:themeColor="accent3" w:themeTint="99"/>
              <w:bottom w:val="single" w:sz="4" w:space="0" w:color="47D459" w:themeColor="accent3" w:themeTint="99"/>
              <w:right w:val="single" w:sz="4" w:space="0" w:color="auto"/>
            </w:tcBorders>
            <w:vAlign w:val="center"/>
            <w:hideMark/>
          </w:tcPr>
          <w:p w14:paraId="7F412CE9" w14:textId="77777777" w:rsidR="00DE3C06" w:rsidRPr="002C7287" w:rsidRDefault="00DE3C06" w:rsidP="008A49D0">
            <w:pPr>
              <w:cnfStyle w:val="000000100000" w:firstRow="0" w:lastRow="0" w:firstColumn="0" w:lastColumn="0" w:oddVBand="0" w:evenVBand="0" w:oddHBand="1" w:evenHBand="0" w:firstRowFirstColumn="0" w:firstRowLastColumn="0" w:lastRowFirstColumn="0" w:lastRowLastColumn="0"/>
              <w:rPr>
                <w:rFonts w:asciiTheme="minorHAnsi" w:hAnsiTheme="minorHAnsi" w:cs="Arial"/>
                <w:bCs/>
                <w:color w:val="275317" w:themeColor="accent6" w:themeShade="80"/>
                <w:sz w:val="20"/>
                <w:szCs w:val="20"/>
              </w:rPr>
            </w:pPr>
          </w:p>
        </w:tc>
      </w:tr>
      <w:tr w:rsidR="00DE3C06" w:rsidRPr="002C7287" w14:paraId="232CE3AB" w14:textId="77777777" w:rsidTr="008A49D0">
        <w:trPr>
          <w:trHeight w:val="300"/>
        </w:trPr>
        <w:tc>
          <w:tcPr>
            <w:cnfStyle w:val="001000000000" w:firstRow="0" w:lastRow="0" w:firstColumn="1" w:lastColumn="0" w:oddVBand="0" w:evenVBand="0" w:oddHBand="0" w:evenHBand="0" w:firstRowFirstColumn="0" w:firstRowLastColumn="0" w:lastRowFirstColumn="0" w:lastRowLastColumn="0"/>
            <w:tcW w:w="2676" w:type="dxa"/>
            <w:tcBorders>
              <w:top w:val="single" w:sz="4" w:space="0" w:color="47D459" w:themeColor="accent3" w:themeTint="99"/>
              <w:left w:val="single" w:sz="4" w:space="0" w:color="auto"/>
              <w:bottom w:val="single" w:sz="4" w:space="0" w:color="47D459" w:themeColor="accent3" w:themeTint="99"/>
              <w:right w:val="single" w:sz="4" w:space="0" w:color="47D459" w:themeColor="accent3" w:themeTint="99"/>
            </w:tcBorders>
            <w:tcMar>
              <w:top w:w="0" w:type="dxa"/>
              <w:left w:w="105" w:type="dxa"/>
              <w:bottom w:w="0" w:type="dxa"/>
              <w:right w:w="105" w:type="dxa"/>
            </w:tcMar>
          </w:tcPr>
          <w:p w14:paraId="7097AB94" w14:textId="77777777" w:rsidR="00DE3C06" w:rsidRPr="002C7287" w:rsidRDefault="00DE3C06" w:rsidP="008A49D0">
            <w:pPr>
              <w:rPr>
                <w:rFonts w:asciiTheme="minorHAnsi" w:hAnsiTheme="minorHAnsi" w:cs="Arial"/>
                <w:color w:val="275317" w:themeColor="accent6" w:themeShade="80"/>
                <w:sz w:val="20"/>
                <w:szCs w:val="20"/>
              </w:rPr>
            </w:pPr>
          </w:p>
        </w:tc>
        <w:tc>
          <w:tcPr>
            <w:tcW w:w="6334" w:type="dxa"/>
            <w:gridSpan w:val="4"/>
            <w:tcBorders>
              <w:top w:val="single" w:sz="4" w:space="0" w:color="47D459" w:themeColor="accent3" w:themeTint="99"/>
              <w:left w:val="single" w:sz="4" w:space="0" w:color="47D459" w:themeColor="accent3" w:themeTint="99"/>
              <w:bottom w:val="single" w:sz="4" w:space="0" w:color="47D459" w:themeColor="accent3" w:themeTint="99"/>
              <w:right w:val="single" w:sz="4" w:space="0" w:color="auto"/>
            </w:tcBorders>
            <w:tcMar>
              <w:top w:w="0" w:type="dxa"/>
              <w:left w:w="105" w:type="dxa"/>
              <w:bottom w:w="0" w:type="dxa"/>
              <w:right w:w="105" w:type="dxa"/>
            </w:tcMar>
            <w:hideMark/>
          </w:tcPr>
          <w:p w14:paraId="059E40E9" w14:textId="77777777" w:rsidR="00DE3C06" w:rsidRPr="002C7287" w:rsidRDefault="00DE3C06" w:rsidP="008A49D0">
            <w:pP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275317" w:themeColor="accent6" w:themeShade="80"/>
                <w:sz w:val="20"/>
                <w:szCs w:val="20"/>
              </w:rPr>
            </w:pPr>
            <w:r w:rsidRPr="002C7287">
              <w:rPr>
                <w:rFonts w:asciiTheme="minorHAnsi" w:hAnsiTheme="minorHAnsi" w:cs="Arial"/>
                <w:color w:val="275317" w:themeColor="accent6" w:themeShade="80"/>
                <w:sz w:val="20"/>
                <w:szCs w:val="20"/>
                <w:lang w:val="es-CO"/>
              </w:rPr>
              <w:t>VIGENCIA FISCAL 2023-2026</w:t>
            </w:r>
          </w:p>
        </w:tc>
      </w:tr>
      <w:tr w:rsidR="00DE3C06" w:rsidRPr="002C7287" w14:paraId="3DC874B4" w14:textId="77777777" w:rsidTr="008A49D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76" w:type="dxa"/>
            <w:tcBorders>
              <w:top w:val="single" w:sz="4" w:space="0" w:color="47D459" w:themeColor="accent3" w:themeTint="99"/>
              <w:left w:val="single" w:sz="4" w:space="0" w:color="auto"/>
              <w:bottom w:val="single" w:sz="4" w:space="0" w:color="47D459" w:themeColor="accent3" w:themeTint="99"/>
              <w:right w:val="single" w:sz="4" w:space="0" w:color="47D459" w:themeColor="accent3" w:themeTint="99"/>
            </w:tcBorders>
            <w:tcMar>
              <w:top w:w="0" w:type="dxa"/>
              <w:left w:w="105" w:type="dxa"/>
              <w:bottom w:w="0" w:type="dxa"/>
              <w:right w:w="105" w:type="dxa"/>
            </w:tcMar>
            <w:hideMark/>
          </w:tcPr>
          <w:p w14:paraId="0C26D35E" w14:textId="77777777" w:rsidR="00DE3C06" w:rsidRPr="002C7287" w:rsidRDefault="00DE3C06" w:rsidP="008A49D0">
            <w:pPr>
              <w:rPr>
                <w:rFonts w:asciiTheme="minorHAnsi" w:hAnsiTheme="minorHAnsi" w:cs="Arial"/>
                <w:color w:val="275317" w:themeColor="accent6" w:themeShade="80"/>
                <w:sz w:val="20"/>
                <w:szCs w:val="20"/>
              </w:rPr>
            </w:pPr>
            <w:r w:rsidRPr="002C7287">
              <w:rPr>
                <w:rFonts w:asciiTheme="minorHAnsi" w:hAnsiTheme="minorHAnsi" w:cs="Arial"/>
                <w:color w:val="275317" w:themeColor="accent6" w:themeShade="80"/>
                <w:sz w:val="20"/>
                <w:szCs w:val="20"/>
              </w:rPr>
              <w:t>Evaluación de la metodología de priorización de proyectos de inversión a ser financiados con la asignación para la paz</w:t>
            </w:r>
          </w:p>
        </w:tc>
        <w:tc>
          <w:tcPr>
            <w:tcW w:w="1698" w:type="dxa"/>
            <w:tc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tcBorders>
            <w:tcMar>
              <w:top w:w="0" w:type="dxa"/>
              <w:left w:w="105" w:type="dxa"/>
              <w:bottom w:w="0" w:type="dxa"/>
              <w:right w:w="105" w:type="dxa"/>
            </w:tcMar>
            <w:vAlign w:val="center"/>
            <w:hideMark/>
          </w:tcPr>
          <w:p w14:paraId="4887721F" w14:textId="77777777" w:rsidR="00DE3C06" w:rsidRPr="002C7287" w:rsidRDefault="00DE3C06" w:rsidP="008A49D0">
            <w:pP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275317" w:themeColor="accent6" w:themeShade="80"/>
                <w:sz w:val="20"/>
                <w:szCs w:val="20"/>
              </w:rPr>
            </w:pPr>
            <w:r w:rsidRPr="002C7287">
              <w:rPr>
                <w:rFonts w:asciiTheme="minorHAnsi" w:hAnsiTheme="minorHAnsi" w:cs="Arial"/>
                <w:color w:val="275317" w:themeColor="accent6" w:themeShade="80"/>
                <w:sz w:val="20"/>
                <w:szCs w:val="20"/>
              </w:rPr>
              <w:t>2025 – 2026 (</w:t>
            </w:r>
            <w:proofErr w:type="gramStart"/>
            <w:r w:rsidRPr="002C7287">
              <w:rPr>
                <w:rFonts w:asciiTheme="minorHAnsi" w:hAnsiTheme="minorHAnsi" w:cs="Arial"/>
                <w:color w:val="275317" w:themeColor="accent6" w:themeShade="80"/>
                <w:sz w:val="20"/>
                <w:szCs w:val="20"/>
              </w:rPr>
              <w:t>Agosto</w:t>
            </w:r>
            <w:proofErr w:type="gramEnd"/>
            <w:r w:rsidRPr="002C7287">
              <w:rPr>
                <w:rFonts w:asciiTheme="minorHAnsi" w:hAnsiTheme="minorHAnsi" w:cs="Arial"/>
                <w:color w:val="275317" w:themeColor="accent6" w:themeShade="80"/>
                <w:sz w:val="20"/>
                <w:szCs w:val="20"/>
              </w:rPr>
              <w:t>)</w:t>
            </w:r>
          </w:p>
        </w:tc>
        <w:tc>
          <w:tcPr>
            <w:tcW w:w="1363" w:type="dxa"/>
            <w:tc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tcBorders>
            <w:tcMar>
              <w:top w:w="0" w:type="dxa"/>
              <w:left w:w="105" w:type="dxa"/>
              <w:bottom w:w="0" w:type="dxa"/>
              <w:right w:w="105" w:type="dxa"/>
            </w:tcMar>
            <w:vAlign w:val="center"/>
            <w:hideMark/>
          </w:tcPr>
          <w:p w14:paraId="0F31F937" w14:textId="77777777" w:rsidR="00DE3C06" w:rsidRPr="002C7287" w:rsidRDefault="00DE3C06" w:rsidP="008A49D0">
            <w:pP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275317" w:themeColor="accent6" w:themeShade="80"/>
                <w:sz w:val="20"/>
                <w:szCs w:val="20"/>
              </w:rPr>
            </w:pPr>
            <w:r w:rsidRPr="002C7287">
              <w:rPr>
                <w:rFonts w:asciiTheme="minorHAnsi" w:hAnsiTheme="minorHAnsi" w:cs="Arial"/>
                <w:color w:val="275317" w:themeColor="accent6" w:themeShade="80"/>
                <w:sz w:val="20"/>
                <w:szCs w:val="20"/>
              </w:rPr>
              <w:t>En ejecución</w:t>
            </w:r>
          </w:p>
        </w:tc>
        <w:tc>
          <w:tcPr>
            <w:tcW w:w="1140" w:type="dxa"/>
            <w:tc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tcBorders>
            <w:tcMar>
              <w:top w:w="0" w:type="dxa"/>
              <w:left w:w="105" w:type="dxa"/>
              <w:bottom w:w="0" w:type="dxa"/>
              <w:right w:w="105" w:type="dxa"/>
            </w:tcMar>
            <w:vAlign w:val="center"/>
            <w:hideMark/>
          </w:tcPr>
          <w:p w14:paraId="0B326051" w14:textId="77777777" w:rsidR="00DE3C06" w:rsidRPr="002C7287" w:rsidRDefault="00DE3C06" w:rsidP="008A49D0">
            <w:pP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275317" w:themeColor="accent6" w:themeShade="80"/>
                <w:sz w:val="20"/>
                <w:szCs w:val="20"/>
              </w:rPr>
            </w:pPr>
            <w:r w:rsidRPr="002C7287">
              <w:rPr>
                <w:rFonts w:asciiTheme="minorHAnsi" w:hAnsiTheme="minorHAnsi" w:cs="Arial"/>
                <w:color w:val="275317" w:themeColor="accent6" w:themeShade="80"/>
                <w:sz w:val="20"/>
                <w:szCs w:val="20"/>
              </w:rPr>
              <w:t>89%</w:t>
            </w:r>
          </w:p>
        </w:tc>
        <w:tc>
          <w:tcPr>
            <w:tcW w:w="2133" w:type="dxa"/>
            <w:tcBorders>
              <w:top w:val="single" w:sz="4" w:space="0" w:color="47D459" w:themeColor="accent3" w:themeTint="99"/>
              <w:left w:val="single" w:sz="4" w:space="0" w:color="47D459" w:themeColor="accent3" w:themeTint="99"/>
              <w:bottom w:val="single" w:sz="4" w:space="0" w:color="47D459" w:themeColor="accent3" w:themeTint="99"/>
              <w:right w:val="single" w:sz="4" w:space="0" w:color="auto"/>
            </w:tcBorders>
            <w:tcMar>
              <w:top w:w="0" w:type="dxa"/>
              <w:left w:w="105" w:type="dxa"/>
              <w:bottom w:w="0" w:type="dxa"/>
              <w:right w:w="105" w:type="dxa"/>
            </w:tcMar>
            <w:vAlign w:val="center"/>
            <w:hideMark/>
          </w:tcPr>
          <w:p w14:paraId="26A5B2C8" w14:textId="77777777" w:rsidR="00DE3C06" w:rsidRPr="002C7287" w:rsidRDefault="00DE3C06" w:rsidP="008A49D0">
            <w:pP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275317" w:themeColor="accent6" w:themeShade="80"/>
                <w:sz w:val="20"/>
                <w:szCs w:val="20"/>
              </w:rPr>
            </w:pPr>
            <w:r w:rsidRPr="002C7287">
              <w:rPr>
                <w:rFonts w:asciiTheme="minorHAnsi" w:hAnsiTheme="minorHAnsi" w:cs="Arial"/>
                <w:color w:val="275317" w:themeColor="accent6" w:themeShade="80"/>
                <w:sz w:val="20"/>
                <w:szCs w:val="20"/>
              </w:rPr>
              <w:t>Funcionamiento e Inversión - DIPRO</w:t>
            </w:r>
          </w:p>
        </w:tc>
      </w:tr>
      <w:tr w:rsidR="00DE3C06" w:rsidRPr="002C7287" w14:paraId="7B1B5095" w14:textId="77777777" w:rsidTr="008A49D0">
        <w:trPr>
          <w:trHeight w:val="300"/>
        </w:trPr>
        <w:tc>
          <w:tcPr>
            <w:cnfStyle w:val="001000000000" w:firstRow="0" w:lastRow="0" w:firstColumn="1" w:lastColumn="0" w:oddVBand="0" w:evenVBand="0" w:oddHBand="0" w:evenHBand="0" w:firstRowFirstColumn="0" w:firstRowLastColumn="0" w:lastRowFirstColumn="0" w:lastRowLastColumn="0"/>
            <w:tcW w:w="2676" w:type="dxa"/>
            <w:tcBorders>
              <w:top w:val="single" w:sz="4" w:space="0" w:color="47D459" w:themeColor="accent3" w:themeTint="99"/>
              <w:left w:val="single" w:sz="4" w:space="0" w:color="auto"/>
              <w:bottom w:val="single" w:sz="4" w:space="0" w:color="auto"/>
              <w:right w:val="single" w:sz="4" w:space="0" w:color="47D459" w:themeColor="accent3" w:themeTint="99"/>
            </w:tcBorders>
            <w:tcMar>
              <w:top w:w="0" w:type="dxa"/>
              <w:left w:w="105" w:type="dxa"/>
              <w:bottom w:w="0" w:type="dxa"/>
              <w:right w:w="105" w:type="dxa"/>
            </w:tcMar>
            <w:hideMark/>
          </w:tcPr>
          <w:p w14:paraId="4E31F342" w14:textId="77777777" w:rsidR="00DE3C06" w:rsidRPr="002C7287" w:rsidRDefault="00DE3C06" w:rsidP="008A49D0">
            <w:pPr>
              <w:rPr>
                <w:rFonts w:asciiTheme="minorHAnsi" w:hAnsiTheme="minorHAnsi" w:cs="Arial"/>
                <w:color w:val="275317" w:themeColor="accent6" w:themeShade="80"/>
                <w:sz w:val="20"/>
                <w:szCs w:val="20"/>
              </w:rPr>
            </w:pPr>
            <w:r w:rsidRPr="002C7287">
              <w:rPr>
                <w:rFonts w:asciiTheme="minorHAnsi" w:hAnsiTheme="minorHAnsi" w:cs="Arial"/>
                <w:color w:val="275317" w:themeColor="accent6" w:themeShade="80"/>
                <w:sz w:val="20"/>
                <w:szCs w:val="20"/>
              </w:rPr>
              <w:t>Informe de seguimiento a la Implementación de los PDET 2025</w:t>
            </w:r>
          </w:p>
        </w:tc>
        <w:tc>
          <w:tcPr>
            <w:tcW w:w="1698" w:type="dxa"/>
            <w:tcBorders>
              <w:top w:val="single" w:sz="4" w:space="0" w:color="47D459" w:themeColor="accent3" w:themeTint="99"/>
              <w:left w:val="single" w:sz="4" w:space="0" w:color="47D459" w:themeColor="accent3" w:themeTint="99"/>
              <w:bottom w:val="single" w:sz="4" w:space="0" w:color="auto"/>
              <w:right w:val="single" w:sz="4" w:space="0" w:color="47D459" w:themeColor="accent3" w:themeTint="99"/>
            </w:tcBorders>
            <w:tcMar>
              <w:top w:w="0" w:type="dxa"/>
              <w:left w:w="105" w:type="dxa"/>
              <w:bottom w:w="0" w:type="dxa"/>
              <w:right w:w="105" w:type="dxa"/>
            </w:tcMar>
            <w:vAlign w:val="center"/>
            <w:hideMark/>
          </w:tcPr>
          <w:p w14:paraId="6D4E0AF5" w14:textId="77777777" w:rsidR="00DE3C06" w:rsidRPr="002C7287" w:rsidRDefault="00DE3C06" w:rsidP="008A49D0">
            <w:pP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275317" w:themeColor="accent6" w:themeShade="80"/>
                <w:sz w:val="20"/>
                <w:szCs w:val="20"/>
              </w:rPr>
            </w:pPr>
            <w:r w:rsidRPr="002C7287">
              <w:rPr>
                <w:rFonts w:asciiTheme="minorHAnsi" w:hAnsiTheme="minorHAnsi" w:cs="Arial"/>
                <w:color w:val="275317" w:themeColor="accent6" w:themeShade="80"/>
                <w:sz w:val="20"/>
                <w:szCs w:val="20"/>
              </w:rPr>
              <w:t>Inicio y cierre 2026 (</w:t>
            </w:r>
            <w:proofErr w:type="gramStart"/>
            <w:r w:rsidRPr="002C7287">
              <w:rPr>
                <w:rFonts w:asciiTheme="minorHAnsi" w:hAnsiTheme="minorHAnsi" w:cs="Arial"/>
                <w:color w:val="275317" w:themeColor="accent6" w:themeShade="80"/>
                <w:sz w:val="20"/>
                <w:szCs w:val="20"/>
              </w:rPr>
              <w:t>Noviembre</w:t>
            </w:r>
            <w:proofErr w:type="gramEnd"/>
            <w:r w:rsidRPr="002C7287">
              <w:rPr>
                <w:rFonts w:asciiTheme="minorHAnsi" w:hAnsiTheme="minorHAnsi" w:cs="Arial"/>
                <w:color w:val="275317" w:themeColor="accent6" w:themeShade="80"/>
                <w:sz w:val="20"/>
                <w:szCs w:val="20"/>
              </w:rPr>
              <w:t>)</w:t>
            </w:r>
          </w:p>
        </w:tc>
        <w:tc>
          <w:tcPr>
            <w:tcW w:w="1363" w:type="dxa"/>
            <w:tcBorders>
              <w:top w:val="single" w:sz="4" w:space="0" w:color="47D459" w:themeColor="accent3" w:themeTint="99"/>
              <w:left w:val="single" w:sz="4" w:space="0" w:color="47D459" w:themeColor="accent3" w:themeTint="99"/>
              <w:bottom w:val="single" w:sz="4" w:space="0" w:color="auto"/>
              <w:right w:val="single" w:sz="4" w:space="0" w:color="47D459" w:themeColor="accent3" w:themeTint="99"/>
            </w:tcBorders>
            <w:tcMar>
              <w:top w:w="0" w:type="dxa"/>
              <w:left w:w="105" w:type="dxa"/>
              <w:bottom w:w="0" w:type="dxa"/>
              <w:right w:w="105" w:type="dxa"/>
            </w:tcMar>
            <w:vAlign w:val="center"/>
            <w:hideMark/>
          </w:tcPr>
          <w:p w14:paraId="66074CFE" w14:textId="77777777" w:rsidR="00DE3C06" w:rsidRPr="002C7287" w:rsidRDefault="00DE3C06" w:rsidP="008A49D0">
            <w:pP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275317" w:themeColor="accent6" w:themeShade="80"/>
                <w:sz w:val="20"/>
                <w:szCs w:val="20"/>
              </w:rPr>
            </w:pPr>
            <w:r w:rsidRPr="002C7287">
              <w:rPr>
                <w:rFonts w:asciiTheme="minorHAnsi" w:hAnsiTheme="minorHAnsi" w:cs="Arial"/>
                <w:color w:val="275317" w:themeColor="accent6" w:themeShade="80"/>
                <w:sz w:val="20"/>
                <w:szCs w:val="20"/>
              </w:rPr>
              <w:t>En ejecución</w:t>
            </w:r>
          </w:p>
        </w:tc>
        <w:tc>
          <w:tcPr>
            <w:tcW w:w="1140" w:type="dxa"/>
            <w:tcBorders>
              <w:top w:val="single" w:sz="4" w:space="0" w:color="47D459" w:themeColor="accent3" w:themeTint="99"/>
              <w:left w:val="single" w:sz="4" w:space="0" w:color="47D459" w:themeColor="accent3" w:themeTint="99"/>
              <w:bottom w:val="single" w:sz="4" w:space="0" w:color="auto"/>
              <w:right w:val="single" w:sz="4" w:space="0" w:color="47D459" w:themeColor="accent3" w:themeTint="99"/>
            </w:tcBorders>
            <w:tcMar>
              <w:top w:w="0" w:type="dxa"/>
              <w:left w:w="105" w:type="dxa"/>
              <w:bottom w:w="0" w:type="dxa"/>
              <w:right w:w="105" w:type="dxa"/>
            </w:tcMar>
            <w:vAlign w:val="center"/>
            <w:hideMark/>
          </w:tcPr>
          <w:p w14:paraId="41218D02" w14:textId="77777777" w:rsidR="00DE3C06" w:rsidRPr="002C7287" w:rsidRDefault="00DE3C06" w:rsidP="008A49D0">
            <w:pP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275317" w:themeColor="accent6" w:themeShade="80"/>
                <w:sz w:val="20"/>
                <w:szCs w:val="20"/>
                <w:highlight w:val="cyan"/>
              </w:rPr>
            </w:pPr>
            <w:r w:rsidRPr="002C7287">
              <w:rPr>
                <w:rFonts w:asciiTheme="minorHAnsi" w:hAnsiTheme="minorHAnsi" w:cs="Arial"/>
                <w:color w:val="275317" w:themeColor="accent6" w:themeShade="80"/>
                <w:sz w:val="20"/>
                <w:szCs w:val="20"/>
              </w:rPr>
              <w:t>36%</w:t>
            </w:r>
          </w:p>
        </w:tc>
        <w:tc>
          <w:tcPr>
            <w:tcW w:w="2133" w:type="dxa"/>
            <w:tcBorders>
              <w:top w:val="single" w:sz="4" w:space="0" w:color="47D459" w:themeColor="accent3" w:themeTint="99"/>
              <w:left w:val="single" w:sz="4" w:space="0" w:color="47D459" w:themeColor="accent3" w:themeTint="99"/>
              <w:bottom w:val="single" w:sz="4" w:space="0" w:color="auto"/>
              <w:right w:val="single" w:sz="4" w:space="0" w:color="auto"/>
            </w:tcBorders>
            <w:tcMar>
              <w:top w:w="0" w:type="dxa"/>
              <w:left w:w="105" w:type="dxa"/>
              <w:bottom w:w="0" w:type="dxa"/>
              <w:right w:w="105" w:type="dxa"/>
            </w:tcMar>
            <w:vAlign w:val="center"/>
            <w:hideMark/>
          </w:tcPr>
          <w:p w14:paraId="3F2B4C4F" w14:textId="77777777" w:rsidR="00DE3C06" w:rsidRPr="002C7287" w:rsidRDefault="00DE3C06" w:rsidP="008A49D0">
            <w:pP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275317" w:themeColor="accent6" w:themeShade="80"/>
                <w:sz w:val="20"/>
                <w:szCs w:val="20"/>
              </w:rPr>
            </w:pPr>
            <w:r w:rsidRPr="002C7287">
              <w:rPr>
                <w:rFonts w:asciiTheme="minorHAnsi" w:hAnsiTheme="minorHAnsi" w:cs="Arial"/>
                <w:color w:val="275317" w:themeColor="accent6" w:themeShade="80"/>
                <w:sz w:val="20"/>
                <w:szCs w:val="20"/>
              </w:rPr>
              <w:t>Funcionamiento e Inversión - DIPRO</w:t>
            </w:r>
          </w:p>
        </w:tc>
      </w:tr>
    </w:tbl>
    <w:p w14:paraId="61EF54D2" w14:textId="77777777" w:rsidR="00DE3C06" w:rsidRPr="000C5171" w:rsidRDefault="00DE3C06" w:rsidP="00DE3C06">
      <w:pPr>
        <w:spacing w:after="0" w:line="276" w:lineRule="auto"/>
        <w:rPr>
          <w:rFonts w:cs="Tahoma"/>
          <w:sz w:val="22"/>
          <w:szCs w:val="22"/>
        </w:rPr>
      </w:pPr>
      <w:r w:rsidRPr="000C5171">
        <w:rPr>
          <w:rFonts w:cs="Tahoma"/>
          <w:sz w:val="22"/>
          <w:szCs w:val="22"/>
        </w:rPr>
        <w:t>Nota: Estos informes pueden ser consultados vía web en los siguientes enlaces:</w:t>
      </w:r>
    </w:p>
    <w:p w14:paraId="3595DD52" w14:textId="77777777" w:rsidR="00DE3C06" w:rsidRPr="000C5171" w:rsidRDefault="00000000" w:rsidP="00DE3C06">
      <w:pPr>
        <w:keepNext/>
        <w:keepLines/>
        <w:spacing w:after="0" w:line="276" w:lineRule="auto"/>
        <w:jc w:val="both"/>
        <w:rPr>
          <w:rFonts w:cs="Tahoma"/>
          <w:sz w:val="20"/>
          <w:szCs w:val="20"/>
        </w:rPr>
      </w:pPr>
      <w:hyperlink r:id="rId21" w:history="1">
        <w:r w:rsidR="00DE3C06" w:rsidRPr="000C5171">
          <w:rPr>
            <w:rStyle w:val="Hipervnculo"/>
            <w:rFonts w:cs="Tahoma"/>
            <w:color w:val="auto"/>
            <w:sz w:val="20"/>
            <w:szCs w:val="20"/>
          </w:rPr>
          <w:t>https://centralpdet.renovacionterritorio.gov.co/informes-e-investigaciones/</w:t>
        </w:r>
      </w:hyperlink>
    </w:p>
    <w:p w14:paraId="5158753E" w14:textId="77777777" w:rsidR="00DE3C06" w:rsidRPr="000C5171" w:rsidRDefault="00000000" w:rsidP="00DE3C06">
      <w:pPr>
        <w:keepNext/>
        <w:keepLines/>
        <w:spacing w:after="0" w:line="276" w:lineRule="auto"/>
        <w:jc w:val="both"/>
        <w:rPr>
          <w:rFonts w:cs="Tahoma"/>
          <w:sz w:val="20"/>
          <w:szCs w:val="20"/>
        </w:rPr>
      </w:pPr>
      <w:hyperlink r:id="rId22" w:history="1">
        <w:r w:rsidR="00DE3C06" w:rsidRPr="000C5171">
          <w:rPr>
            <w:rStyle w:val="Hipervnculo"/>
            <w:rFonts w:cs="Tahoma"/>
            <w:color w:val="auto"/>
            <w:sz w:val="20"/>
            <w:szCs w:val="20"/>
          </w:rPr>
          <w:t>https://centralpdet.renovacionterritorio.gov.co/documentos-regionales/</w:t>
        </w:r>
      </w:hyperlink>
    </w:p>
    <w:p w14:paraId="4996BF4A" w14:textId="77777777" w:rsidR="00DE3C06" w:rsidRPr="000C5171" w:rsidRDefault="00DE3C06" w:rsidP="00DE3C06">
      <w:pPr>
        <w:spacing w:line="276" w:lineRule="auto"/>
        <w:rPr>
          <w:rFonts w:cs="Tahoma"/>
          <w:sz w:val="20"/>
          <w:szCs w:val="20"/>
        </w:rPr>
      </w:pPr>
    </w:p>
    <w:p w14:paraId="373545B6" w14:textId="77777777" w:rsidR="00DE3C06" w:rsidRPr="000C5171" w:rsidRDefault="00DE3C06" w:rsidP="00DE3C06">
      <w:pPr>
        <w:pStyle w:val="Ttulo1"/>
        <w:spacing w:line="276" w:lineRule="auto"/>
        <w:rPr>
          <w:rFonts w:cs="Tahoma"/>
          <w:color w:val="0070C0"/>
        </w:rPr>
      </w:pPr>
      <w:bookmarkStart w:id="39" w:name="_Toc234168102"/>
      <w:r w:rsidRPr="000C5171">
        <w:rPr>
          <w:rFonts w:cs="Tahoma"/>
          <w:color w:val="0070C0"/>
        </w:rPr>
        <w:t>8.3 Proyectos: (APP, Convenios)</w:t>
      </w:r>
      <w:bookmarkEnd w:id="39"/>
    </w:p>
    <w:p w14:paraId="11C02A11" w14:textId="77777777" w:rsidR="00DE3C06" w:rsidRPr="000C5171" w:rsidRDefault="00DE3C06" w:rsidP="00DE3C06">
      <w:pPr>
        <w:spacing w:before="240" w:after="240" w:line="276" w:lineRule="auto"/>
        <w:jc w:val="both"/>
        <w:rPr>
          <w:rFonts w:eastAsia="Arial" w:cs="Tahoma"/>
          <w:sz w:val="22"/>
          <w:szCs w:val="22"/>
          <w:lang w:val="es"/>
        </w:rPr>
      </w:pPr>
      <w:r w:rsidRPr="000C5171">
        <w:rPr>
          <w:rFonts w:eastAsia="Arial" w:cs="Tahoma"/>
          <w:sz w:val="22"/>
          <w:szCs w:val="22"/>
          <w:lang w:val="es"/>
        </w:rPr>
        <w:t>La información que se registra y suministra, corresponde a los proyectos que aportan a la implementación de los PDET y que son ejecutados por la misma entidad, tanto con recursos de la subcuenta PDET del Fondo Colombia en Paz, como con recursos asignados directamente a la ART a través del Presupuesto General de la Nación.</w:t>
      </w:r>
    </w:p>
    <w:p w14:paraId="141A8494" w14:textId="77777777" w:rsidR="00DE3C06" w:rsidRPr="000C5171" w:rsidRDefault="00DE3C06" w:rsidP="00DE3C06">
      <w:pPr>
        <w:spacing w:before="240" w:after="240" w:line="276" w:lineRule="auto"/>
        <w:jc w:val="both"/>
        <w:rPr>
          <w:rFonts w:eastAsia="Arial" w:cs="Tahoma"/>
          <w:sz w:val="22"/>
          <w:szCs w:val="22"/>
          <w:lang w:val="es"/>
        </w:rPr>
      </w:pPr>
      <w:r w:rsidRPr="000C5171">
        <w:rPr>
          <w:rFonts w:eastAsia="Arial" w:cs="Tahoma"/>
          <w:sz w:val="22"/>
          <w:szCs w:val="22"/>
          <w:lang w:val="es"/>
        </w:rPr>
        <w:t xml:space="preserve">En este sentido, se remite en archivo anexo el detalle de los 121 proyectos financiados con recursos del Presupuesto General de la Nación que han impactado comunidades de 16 Subregiones PDET, reportados por vigencia desde agosto de 2022, así como los 304 proyectos financiados con recursos de la subcuenta PDET del Fondo Colombia en Paz que han impactado comunidades de las 16 Subregiones PDET. Al respecto, se precisa que este último corresponde a un patrimonio autónomo, por lo cual no se encuentra sujeto al principio de anualidad presupuestal; no obstante, y para efectos de mantener la coherencia con la </w:t>
      </w:r>
      <w:r w:rsidRPr="000C5171">
        <w:rPr>
          <w:rFonts w:eastAsia="Arial" w:cs="Tahoma"/>
          <w:sz w:val="22"/>
          <w:szCs w:val="22"/>
          <w:lang w:val="es"/>
        </w:rPr>
        <w:lastRenderedPageBreak/>
        <w:t>estructura de la base de información solicitada, los proyectos se reportan por vigencia de contratación.</w:t>
      </w:r>
    </w:p>
    <w:p w14:paraId="585CD04C" w14:textId="77777777" w:rsidR="00DE3C06" w:rsidRPr="000C5171" w:rsidRDefault="00DE3C06" w:rsidP="00DE3C06">
      <w:pPr>
        <w:spacing w:line="276" w:lineRule="auto"/>
        <w:jc w:val="both"/>
        <w:rPr>
          <w:rFonts w:cs="Tahoma"/>
          <w:sz w:val="22"/>
          <w:szCs w:val="22"/>
        </w:rPr>
      </w:pPr>
      <w:r w:rsidRPr="000C5171">
        <w:rPr>
          <w:rFonts w:eastAsia="Arial" w:cs="Tahoma"/>
          <w:sz w:val="22"/>
          <w:szCs w:val="22"/>
        </w:rPr>
        <w:t>Se presenta la información de proyectos por fuente y por vigencia en las siguientes tablas:</w:t>
      </w:r>
    </w:p>
    <w:p w14:paraId="7BAFC5BA" w14:textId="77777777" w:rsidR="00DE3C06" w:rsidRPr="000C5171" w:rsidRDefault="00DE3C06">
      <w:pPr>
        <w:pStyle w:val="Prrafodelista"/>
        <w:numPr>
          <w:ilvl w:val="0"/>
          <w:numId w:val="13"/>
        </w:numPr>
        <w:spacing w:line="276" w:lineRule="auto"/>
        <w:rPr>
          <w:rFonts w:cs="Tahoma"/>
          <w:sz w:val="22"/>
          <w:szCs w:val="22"/>
        </w:rPr>
      </w:pPr>
      <w:r w:rsidRPr="000C5171">
        <w:rPr>
          <w:rFonts w:cs="Tahoma"/>
          <w:b/>
          <w:bCs/>
          <w:sz w:val="22"/>
          <w:szCs w:val="22"/>
        </w:rPr>
        <w:t>ANEXO 22</w:t>
      </w:r>
      <w:r w:rsidRPr="000C5171">
        <w:rPr>
          <w:rFonts w:cs="Tahoma"/>
          <w:sz w:val="22"/>
          <w:szCs w:val="22"/>
        </w:rPr>
        <w:t xml:space="preserve"> Proyectos por recursos Presupuesto General de la Nación (PGN) </w:t>
      </w:r>
    </w:p>
    <w:p w14:paraId="214173C6" w14:textId="77777777" w:rsidR="00DE3C06" w:rsidRPr="000C5171" w:rsidRDefault="00DE3C06">
      <w:pPr>
        <w:pStyle w:val="Prrafodelista"/>
        <w:numPr>
          <w:ilvl w:val="0"/>
          <w:numId w:val="13"/>
        </w:numPr>
        <w:spacing w:line="276" w:lineRule="auto"/>
        <w:rPr>
          <w:rFonts w:cs="Tahoma"/>
          <w:sz w:val="22"/>
          <w:szCs w:val="22"/>
        </w:rPr>
      </w:pPr>
      <w:r w:rsidRPr="000C5171">
        <w:rPr>
          <w:rFonts w:cs="Tahoma"/>
          <w:b/>
          <w:bCs/>
          <w:sz w:val="22"/>
          <w:szCs w:val="22"/>
        </w:rPr>
        <w:t xml:space="preserve">ANEXO 23 </w:t>
      </w:r>
      <w:r w:rsidRPr="002C7287">
        <w:rPr>
          <w:rFonts w:cs="Tahoma"/>
          <w:sz w:val="22"/>
          <w:szCs w:val="22"/>
        </w:rPr>
        <w:t>P</w:t>
      </w:r>
      <w:r w:rsidRPr="000C5171">
        <w:rPr>
          <w:rFonts w:cs="Tahoma"/>
          <w:sz w:val="22"/>
          <w:szCs w:val="22"/>
        </w:rPr>
        <w:t>royectos por recursos de la subcuenta Fondo Colombia en PAZ</w:t>
      </w:r>
    </w:p>
    <w:p w14:paraId="67032880" w14:textId="77777777" w:rsidR="00DE3C06" w:rsidRPr="000C5171" w:rsidRDefault="00DE3C06" w:rsidP="00DE3C06">
      <w:pPr>
        <w:pStyle w:val="Ttulo1"/>
        <w:spacing w:line="276" w:lineRule="auto"/>
        <w:rPr>
          <w:rFonts w:eastAsia="Nunito" w:cs="Tahoma"/>
          <w:color w:val="0070C0"/>
        </w:rPr>
      </w:pPr>
      <w:bookmarkStart w:id="40" w:name="_Toc234168103"/>
      <w:r w:rsidRPr="000C5171">
        <w:rPr>
          <w:rFonts w:cs="Tahoma"/>
          <w:color w:val="0070C0"/>
        </w:rPr>
        <w:t>8.4 Proyectos de inversión</w:t>
      </w:r>
      <w:bookmarkEnd w:id="40"/>
    </w:p>
    <w:p w14:paraId="7F35B1D4" w14:textId="77777777" w:rsidR="00DE3C06" w:rsidRPr="000C5171" w:rsidRDefault="00DE3C06" w:rsidP="00DE3C06">
      <w:pPr>
        <w:spacing w:line="276" w:lineRule="auto"/>
        <w:rPr>
          <w:rFonts w:cs="Tahoma"/>
          <w:sz w:val="22"/>
          <w:szCs w:val="22"/>
        </w:rPr>
      </w:pPr>
      <w:r w:rsidRPr="000C5171">
        <w:rPr>
          <w:rFonts w:cs="Tahoma"/>
          <w:sz w:val="22"/>
          <w:szCs w:val="22"/>
        </w:rPr>
        <w:t xml:space="preserve">Se </w:t>
      </w:r>
      <w:r w:rsidRPr="000C5171">
        <w:rPr>
          <w:rFonts w:cs="Tahoma"/>
          <w:sz w:val="22"/>
          <w:szCs w:val="22"/>
          <w:u w:val="single"/>
        </w:rPr>
        <w:t xml:space="preserve">anexa la relación de proyectos de inversión en el </w:t>
      </w:r>
      <w:r w:rsidRPr="000C5171">
        <w:rPr>
          <w:rFonts w:cs="Tahoma"/>
          <w:b/>
          <w:bCs/>
          <w:sz w:val="22"/>
          <w:szCs w:val="22"/>
        </w:rPr>
        <w:t xml:space="preserve">ANEXO </w:t>
      </w:r>
      <w:proofErr w:type="gramStart"/>
      <w:r w:rsidRPr="000C5171">
        <w:rPr>
          <w:rFonts w:cs="Tahoma"/>
          <w:b/>
          <w:bCs/>
          <w:sz w:val="22"/>
          <w:szCs w:val="22"/>
        </w:rPr>
        <w:t xml:space="preserve">24, </w:t>
      </w:r>
      <w:r w:rsidRPr="000C5171">
        <w:rPr>
          <w:rFonts w:cs="Tahoma"/>
          <w:sz w:val="22"/>
          <w:szCs w:val="22"/>
        </w:rPr>
        <w:t xml:space="preserve"> que</w:t>
      </w:r>
      <w:proofErr w:type="gramEnd"/>
      <w:r w:rsidRPr="000C5171">
        <w:rPr>
          <w:rFonts w:cs="Tahoma"/>
          <w:sz w:val="22"/>
          <w:szCs w:val="22"/>
        </w:rPr>
        <w:t xml:space="preserve"> amplía la información por proyecto. </w:t>
      </w:r>
    </w:p>
    <w:p w14:paraId="49F41178" w14:textId="77777777" w:rsidR="00DE3C06" w:rsidRPr="000C5171" w:rsidRDefault="00DE3C06" w:rsidP="00DE3C06">
      <w:pPr>
        <w:spacing w:line="276" w:lineRule="auto"/>
        <w:rPr>
          <w:rFonts w:cs="Tahoma"/>
          <w:sz w:val="22"/>
          <w:szCs w:val="22"/>
        </w:rPr>
      </w:pPr>
      <w:r w:rsidRPr="000C5171">
        <w:rPr>
          <w:rFonts w:cs="Tahoma"/>
          <w:sz w:val="22"/>
          <w:szCs w:val="22"/>
        </w:rPr>
        <w:t>A continuación, la relación con la imagen de las tablas abreviadas para contexto de la información para la vigencia 2026:</w:t>
      </w:r>
    </w:p>
    <w:p w14:paraId="334F0163" w14:textId="77777777" w:rsidR="00DE3C06" w:rsidRPr="000C5171" w:rsidRDefault="00DE3C06" w:rsidP="00DE3C06">
      <w:pPr>
        <w:spacing w:line="276" w:lineRule="auto"/>
        <w:jc w:val="center"/>
        <w:rPr>
          <w:rFonts w:cs="Arial"/>
          <w:sz w:val="22"/>
          <w:szCs w:val="22"/>
        </w:rPr>
      </w:pPr>
      <w:r w:rsidRPr="000C5171">
        <w:rPr>
          <w:rFonts w:cs="Arial"/>
          <w:b/>
          <w:bCs/>
          <w:sz w:val="22"/>
          <w:szCs w:val="22"/>
        </w:rPr>
        <w:t>Tabla 15.</w:t>
      </w:r>
      <w:r w:rsidRPr="000C5171">
        <w:rPr>
          <w:rFonts w:cs="Arial"/>
          <w:sz w:val="22"/>
          <w:szCs w:val="22"/>
        </w:rPr>
        <w:t xml:space="preserve"> Proyectos de Inversión ART 2026</w:t>
      </w:r>
    </w:p>
    <w:tbl>
      <w:tblPr>
        <w:tblW w:w="9488" w:type="dxa"/>
        <w:tblCellMar>
          <w:left w:w="70" w:type="dxa"/>
          <w:right w:w="70" w:type="dxa"/>
        </w:tblCellMar>
        <w:tblLook w:val="04A0" w:firstRow="1" w:lastRow="0" w:firstColumn="1" w:lastColumn="0" w:noHBand="0" w:noVBand="1"/>
      </w:tblPr>
      <w:tblGrid>
        <w:gridCol w:w="1833"/>
        <w:gridCol w:w="5245"/>
        <w:gridCol w:w="992"/>
        <w:gridCol w:w="1418"/>
      </w:tblGrid>
      <w:tr w:rsidR="00DE3C06" w:rsidRPr="000C5171" w14:paraId="326B7AF8" w14:textId="77777777" w:rsidTr="008A49D0">
        <w:trPr>
          <w:trHeight w:val="540"/>
        </w:trPr>
        <w:tc>
          <w:tcPr>
            <w:tcW w:w="1833" w:type="dxa"/>
            <w:tcBorders>
              <w:top w:val="single" w:sz="8" w:space="0" w:color="auto"/>
              <w:left w:val="single" w:sz="8" w:space="0" w:color="auto"/>
              <w:bottom w:val="single" w:sz="12" w:space="0" w:color="C9C9C9"/>
              <w:right w:val="single" w:sz="8" w:space="0" w:color="47D459"/>
            </w:tcBorders>
            <w:vAlign w:val="center"/>
            <w:hideMark/>
          </w:tcPr>
          <w:p w14:paraId="78F4EFCE" w14:textId="77777777" w:rsidR="00DE3C06" w:rsidRPr="000C5171" w:rsidRDefault="00DE3C06" w:rsidP="008A49D0">
            <w:pPr>
              <w:spacing w:after="0" w:line="240" w:lineRule="auto"/>
              <w:jc w:val="center"/>
              <w:rPr>
                <w:rFonts w:eastAsia="Times New Roman" w:cs="Arial"/>
                <w:b/>
                <w:bCs/>
                <w:color w:val="124F1A" w:themeColor="accent3" w:themeShade="BF"/>
                <w:sz w:val="20"/>
                <w:szCs w:val="20"/>
                <w:lang w:eastAsia="es-CO"/>
              </w:rPr>
            </w:pPr>
            <w:r w:rsidRPr="000C5171">
              <w:rPr>
                <w:rFonts w:eastAsia="Times New Roman" w:cs="Arial"/>
                <w:b/>
                <w:bCs/>
                <w:color w:val="124F1A" w:themeColor="accent3" w:themeShade="BF"/>
                <w:sz w:val="20"/>
                <w:szCs w:val="20"/>
                <w:lang w:eastAsia="es-CO"/>
              </w:rPr>
              <w:t>Ficha BPIN</w:t>
            </w:r>
          </w:p>
        </w:tc>
        <w:tc>
          <w:tcPr>
            <w:tcW w:w="5245" w:type="dxa"/>
            <w:tcBorders>
              <w:top w:val="single" w:sz="8" w:space="0" w:color="auto"/>
              <w:left w:val="nil"/>
              <w:bottom w:val="single" w:sz="12" w:space="0" w:color="C9C9C9"/>
              <w:right w:val="single" w:sz="8" w:space="0" w:color="47D459"/>
            </w:tcBorders>
            <w:vAlign w:val="center"/>
            <w:hideMark/>
          </w:tcPr>
          <w:p w14:paraId="67A09E8E" w14:textId="77777777" w:rsidR="00DE3C06" w:rsidRPr="000C5171" w:rsidRDefault="00DE3C06" w:rsidP="008A49D0">
            <w:pPr>
              <w:spacing w:after="0" w:line="240" w:lineRule="auto"/>
              <w:jc w:val="center"/>
              <w:rPr>
                <w:rFonts w:eastAsia="Times New Roman" w:cs="Arial"/>
                <w:b/>
                <w:bCs/>
                <w:color w:val="124F1A" w:themeColor="accent3" w:themeShade="BF"/>
                <w:sz w:val="20"/>
                <w:szCs w:val="20"/>
                <w:lang w:eastAsia="es-CO"/>
              </w:rPr>
            </w:pPr>
            <w:r w:rsidRPr="000C5171">
              <w:rPr>
                <w:rFonts w:eastAsia="Times New Roman" w:cs="Arial"/>
                <w:b/>
                <w:bCs/>
                <w:color w:val="124F1A" w:themeColor="accent3" w:themeShade="BF"/>
                <w:sz w:val="20"/>
                <w:szCs w:val="20"/>
                <w:lang w:eastAsia="es-CO"/>
              </w:rPr>
              <w:t>Nombre del proyecto</w:t>
            </w:r>
          </w:p>
        </w:tc>
        <w:tc>
          <w:tcPr>
            <w:tcW w:w="992" w:type="dxa"/>
            <w:tcBorders>
              <w:top w:val="single" w:sz="8" w:space="0" w:color="auto"/>
              <w:left w:val="nil"/>
              <w:bottom w:val="single" w:sz="12" w:space="0" w:color="C9C9C9"/>
              <w:right w:val="single" w:sz="8" w:space="0" w:color="47D459"/>
            </w:tcBorders>
            <w:vAlign w:val="center"/>
            <w:hideMark/>
          </w:tcPr>
          <w:p w14:paraId="17EF9D02" w14:textId="77777777" w:rsidR="00DE3C06" w:rsidRPr="000C5171" w:rsidRDefault="00DE3C06" w:rsidP="008A49D0">
            <w:pPr>
              <w:spacing w:after="0" w:line="240" w:lineRule="auto"/>
              <w:jc w:val="center"/>
              <w:rPr>
                <w:rFonts w:eastAsia="Times New Roman" w:cs="Arial"/>
                <w:b/>
                <w:bCs/>
                <w:color w:val="124F1A" w:themeColor="accent3" w:themeShade="BF"/>
                <w:sz w:val="20"/>
                <w:szCs w:val="20"/>
                <w:lang w:eastAsia="es-CO"/>
              </w:rPr>
            </w:pPr>
            <w:r w:rsidRPr="000C5171">
              <w:rPr>
                <w:rFonts w:eastAsia="Times New Roman" w:cs="Arial"/>
                <w:b/>
                <w:bCs/>
                <w:color w:val="124F1A" w:themeColor="accent3" w:themeShade="BF"/>
                <w:sz w:val="20"/>
                <w:szCs w:val="20"/>
                <w:lang w:eastAsia="es-CO"/>
              </w:rPr>
              <w:t>Vigencia</w:t>
            </w:r>
          </w:p>
        </w:tc>
        <w:tc>
          <w:tcPr>
            <w:tcW w:w="1418" w:type="dxa"/>
            <w:tcBorders>
              <w:top w:val="single" w:sz="8" w:space="0" w:color="auto"/>
              <w:left w:val="nil"/>
              <w:bottom w:val="single" w:sz="12" w:space="0" w:color="C9C9C9"/>
              <w:right w:val="single" w:sz="8" w:space="0" w:color="auto"/>
            </w:tcBorders>
            <w:vAlign w:val="center"/>
            <w:hideMark/>
          </w:tcPr>
          <w:p w14:paraId="5E670D06" w14:textId="77777777" w:rsidR="00DE3C06" w:rsidRPr="000C5171" w:rsidRDefault="00DE3C06" w:rsidP="008A49D0">
            <w:pPr>
              <w:spacing w:after="0" w:line="240" w:lineRule="auto"/>
              <w:jc w:val="center"/>
              <w:rPr>
                <w:rFonts w:eastAsia="Times New Roman" w:cs="Arial"/>
                <w:b/>
                <w:bCs/>
                <w:color w:val="124F1A" w:themeColor="accent3" w:themeShade="BF"/>
                <w:sz w:val="20"/>
                <w:szCs w:val="20"/>
                <w:lang w:eastAsia="es-CO"/>
              </w:rPr>
            </w:pPr>
            <w:r w:rsidRPr="000C5171">
              <w:rPr>
                <w:rFonts w:eastAsia="Times New Roman" w:cs="Arial"/>
                <w:b/>
                <w:bCs/>
                <w:color w:val="124F1A" w:themeColor="accent3" w:themeShade="BF"/>
                <w:sz w:val="20"/>
                <w:szCs w:val="20"/>
                <w:lang w:eastAsia="es-CO"/>
              </w:rPr>
              <w:t>Estado</w:t>
            </w:r>
          </w:p>
        </w:tc>
      </w:tr>
      <w:tr w:rsidR="00DE3C06" w:rsidRPr="000C5171" w14:paraId="58837633" w14:textId="77777777" w:rsidTr="008A49D0">
        <w:trPr>
          <w:trHeight w:val="936"/>
        </w:trPr>
        <w:tc>
          <w:tcPr>
            <w:tcW w:w="1833" w:type="dxa"/>
            <w:tcBorders>
              <w:top w:val="nil"/>
              <w:left w:val="single" w:sz="8" w:space="0" w:color="auto"/>
              <w:bottom w:val="single" w:sz="8" w:space="0" w:color="47D459"/>
              <w:right w:val="single" w:sz="8" w:space="0" w:color="47D459"/>
            </w:tcBorders>
            <w:vAlign w:val="center"/>
            <w:hideMark/>
          </w:tcPr>
          <w:p w14:paraId="60594320" w14:textId="77777777" w:rsidR="00DE3C06" w:rsidRPr="000C5171" w:rsidRDefault="00DE3C06" w:rsidP="008A49D0">
            <w:pPr>
              <w:spacing w:after="0" w:line="240" w:lineRule="auto"/>
              <w:jc w:val="center"/>
              <w:rPr>
                <w:rFonts w:eastAsia="Times New Roman" w:cs="Arial"/>
                <w:color w:val="124F1A" w:themeColor="accent3" w:themeShade="BF"/>
                <w:sz w:val="20"/>
                <w:szCs w:val="20"/>
                <w:lang w:eastAsia="es-CO"/>
              </w:rPr>
            </w:pPr>
            <w:r w:rsidRPr="000C5171">
              <w:rPr>
                <w:rFonts w:eastAsia="Times New Roman" w:cs="Arial"/>
                <w:color w:val="124F1A" w:themeColor="accent3" w:themeShade="BF"/>
                <w:sz w:val="20"/>
                <w:szCs w:val="20"/>
                <w:lang w:eastAsia="es-CO"/>
              </w:rPr>
              <w:t>202300000000175</w:t>
            </w:r>
          </w:p>
        </w:tc>
        <w:tc>
          <w:tcPr>
            <w:tcW w:w="5245" w:type="dxa"/>
            <w:tcBorders>
              <w:top w:val="nil"/>
              <w:left w:val="nil"/>
              <w:bottom w:val="single" w:sz="8" w:space="0" w:color="47D459"/>
              <w:right w:val="single" w:sz="8" w:space="0" w:color="47D459"/>
            </w:tcBorders>
            <w:vAlign w:val="center"/>
            <w:hideMark/>
          </w:tcPr>
          <w:p w14:paraId="5B7103F5" w14:textId="77777777" w:rsidR="00DE3C06" w:rsidRPr="000C5171" w:rsidRDefault="00DE3C06" w:rsidP="008A49D0">
            <w:pPr>
              <w:spacing w:after="0" w:line="240" w:lineRule="auto"/>
              <w:rPr>
                <w:rFonts w:eastAsia="Times New Roman" w:cs="Arial"/>
                <w:color w:val="124F1A" w:themeColor="accent3" w:themeShade="BF"/>
                <w:sz w:val="20"/>
                <w:szCs w:val="20"/>
                <w:lang w:eastAsia="es-CO"/>
              </w:rPr>
            </w:pPr>
            <w:r w:rsidRPr="000C5171">
              <w:rPr>
                <w:rFonts w:eastAsia="Times New Roman" w:cs="Arial"/>
                <w:color w:val="124F1A" w:themeColor="accent3" w:themeShade="BF"/>
                <w:sz w:val="20"/>
                <w:szCs w:val="20"/>
                <w:lang w:eastAsia="es-CO"/>
              </w:rPr>
              <w:t>Contribución al cierre de brechas a través de la implementación de proyectos para la transformación y la vida en los territorios PDET Nacional</w:t>
            </w:r>
          </w:p>
        </w:tc>
        <w:tc>
          <w:tcPr>
            <w:tcW w:w="992" w:type="dxa"/>
            <w:tcBorders>
              <w:top w:val="nil"/>
              <w:left w:val="nil"/>
              <w:bottom w:val="single" w:sz="8" w:space="0" w:color="47D459"/>
              <w:right w:val="single" w:sz="8" w:space="0" w:color="47D459"/>
            </w:tcBorders>
            <w:vAlign w:val="center"/>
            <w:hideMark/>
          </w:tcPr>
          <w:p w14:paraId="19B1A5F9" w14:textId="77777777" w:rsidR="00DE3C06" w:rsidRPr="000C5171" w:rsidRDefault="00DE3C06" w:rsidP="008A49D0">
            <w:pPr>
              <w:spacing w:after="0" w:line="240" w:lineRule="auto"/>
              <w:jc w:val="center"/>
              <w:rPr>
                <w:rFonts w:eastAsia="Times New Roman" w:cs="Arial"/>
                <w:color w:val="124F1A" w:themeColor="accent3" w:themeShade="BF"/>
                <w:sz w:val="20"/>
                <w:szCs w:val="20"/>
                <w:lang w:eastAsia="es-CO"/>
              </w:rPr>
            </w:pPr>
            <w:r w:rsidRPr="000C5171">
              <w:rPr>
                <w:rFonts w:eastAsia="Times New Roman" w:cs="Arial"/>
                <w:color w:val="124F1A" w:themeColor="accent3" w:themeShade="BF"/>
                <w:sz w:val="20"/>
                <w:szCs w:val="20"/>
                <w:lang w:eastAsia="es-CO"/>
              </w:rPr>
              <w:t>2026</w:t>
            </w:r>
          </w:p>
        </w:tc>
        <w:tc>
          <w:tcPr>
            <w:tcW w:w="1418" w:type="dxa"/>
            <w:tcBorders>
              <w:top w:val="nil"/>
              <w:left w:val="nil"/>
              <w:bottom w:val="single" w:sz="8" w:space="0" w:color="47D459"/>
              <w:right w:val="single" w:sz="8" w:space="0" w:color="auto"/>
            </w:tcBorders>
            <w:vAlign w:val="center"/>
            <w:hideMark/>
          </w:tcPr>
          <w:p w14:paraId="4F38FE60" w14:textId="77777777" w:rsidR="00DE3C06" w:rsidRPr="000C5171" w:rsidRDefault="00DE3C06" w:rsidP="008A49D0">
            <w:pPr>
              <w:spacing w:after="0" w:line="240" w:lineRule="auto"/>
              <w:rPr>
                <w:rFonts w:eastAsia="Times New Roman" w:cs="Arial"/>
                <w:color w:val="124F1A" w:themeColor="accent3" w:themeShade="BF"/>
                <w:sz w:val="20"/>
                <w:szCs w:val="20"/>
                <w:lang w:eastAsia="es-CO"/>
              </w:rPr>
            </w:pPr>
            <w:r w:rsidRPr="000C5171">
              <w:rPr>
                <w:rFonts w:eastAsia="Times New Roman" w:cs="Arial"/>
                <w:color w:val="124F1A" w:themeColor="accent3" w:themeShade="BF"/>
                <w:sz w:val="20"/>
                <w:szCs w:val="20"/>
                <w:lang w:eastAsia="es-CO"/>
              </w:rPr>
              <w:t>En ejecución</w:t>
            </w:r>
          </w:p>
        </w:tc>
      </w:tr>
      <w:tr w:rsidR="00DE3C06" w:rsidRPr="000C5171" w14:paraId="77C6B70B" w14:textId="77777777" w:rsidTr="008A49D0">
        <w:trPr>
          <w:trHeight w:val="1056"/>
        </w:trPr>
        <w:tc>
          <w:tcPr>
            <w:tcW w:w="1833" w:type="dxa"/>
            <w:tcBorders>
              <w:top w:val="nil"/>
              <w:left w:val="single" w:sz="8" w:space="0" w:color="auto"/>
              <w:bottom w:val="nil"/>
              <w:right w:val="single" w:sz="8" w:space="0" w:color="47D459"/>
            </w:tcBorders>
            <w:shd w:val="clear" w:color="auto" w:fill="C1F0C7"/>
            <w:vAlign w:val="center"/>
            <w:hideMark/>
          </w:tcPr>
          <w:p w14:paraId="465A6DC0" w14:textId="77777777" w:rsidR="00DE3C06" w:rsidRPr="000C5171" w:rsidRDefault="00DE3C06" w:rsidP="008A49D0">
            <w:pPr>
              <w:spacing w:after="0" w:line="240" w:lineRule="auto"/>
              <w:jc w:val="center"/>
              <w:rPr>
                <w:rFonts w:eastAsia="Times New Roman" w:cs="Arial"/>
                <w:color w:val="124F1A" w:themeColor="accent3" w:themeShade="BF"/>
                <w:sz w:val="20"/>
                <w:szCs w:val="20"/>
                <w:lang w:eastAsia="es-CO"/>
              </w:rPr>
            </w:pPr>
            <w:r w:rsidRPr="000C5171">
              <w:rPr>
                <w:rFonts w:eastAsia="Times New Roman" w:cs="Arial"/>
                <w:color w:val="124F1A" w:themeColor="accent3" w:themeShade="BF"/>
                <w:sz w:val="20"/>
                <w:szCs w:val="20"/>
                <w:lang w:eastAsia="es-CO"/>
              </w:rPr>
              <w:t>202400000000133</w:t>
            </w:r>
          </w:p>
        </w:tc>
        <w:tc>
          <w:tcPr>
            <w:tcW w:w="5245" w:type="dxa"/>
            <w:tcBorders>
              <w:top w:val="nil"/>
              <w:left w:val="nil"/>
              <w:bottom w:val="nil"/>
              <w:right w:val="single" w:sz="8" w:space="0" w:color="47D459"/>
            </w:tcBorders>
            <w:shd w:val="clear" w:color="auto" w:fill="C1F0C7"/>
            <w:vAlign w:val="center"/>
            <w:hideMark/>
          </w:tcPr>
          <w:p w14:paraId="163135D2" w14:textId="77777777" w:rsidR="00DE3C06" w:rsidRPr="000C5171" w:rsidRDefault="00DE3C06" w:rsidP="008A49D0">
            <w:pPr>
              <w:spacing w:after="0" w:line="240" w:lineRule="auto"/>
              <w:rPr>
                <w:rFonts w:eastAsia="Times New Roman" w:cs="Arial"/>
                <w:color w:val="124F1A" w:themeColor="accent3" w:themeShade="BF"/>
                <w:sz w:val="20"/>
                <w:szCs w:val="20"/>
                <w:lang w:eastAsia="es-CO"/>
              </w:rPr>
            </w:pPr>
            <w:r w:rsidRPr="000C5171">
              <w:rPr>
                <w:rFonts w:eastAsia="Times New Roman" w:cs="Arial"/>
                <w:color w:val="124F1A" w:themeColor="accent3" w:themeShade="BF"/>
                <w:sz w:val="20"/>
                <w:szCs w:val="20"/>
                <w:lang w:eastAsia="es-CO"/>
              </w:rPr>
              <w:t xml:space="preserve">Apoyo a la implementación de los Planes de Acción para la Transformación Regional - PATR actualizados en el marco de los Programas de Desarrollo con Enfoque Territorial - PDET a nivel Nacional </w:t>
            </w:r>
          </w:p>
        </w:tc>
        <w:tc>
          <w:tcPr>
            <w:tcW w:w="992" w:type="dxa"/>
            <w:tcBorders>
              <w:top w:val="nil"/>
              <w:left w:val="nil"/>
              <w:bottom w:val="nil"/>
              <w:right w:val="single" w:sz="8" w:space="0" w:color="47D459"/>
            </w:tcBorders>
            <w:shd w:val="clear" w:color="auto" w:fill="C1F0C7"/>
            <w:vAlign w:val="center"/>
            <w:hideMark/>
          </w:tcPr>
          <w:p w14:paraId="78EA6F4F" w14:textId="77777777" w:rsidR="00DE3C06" w:rsidRPr="000C5171" w:rsidRDefault="00DE3C06" w:rsidP="008A49D0">
            <w:pPr>
              <w:spacing w:after="0" w:line="240" w:lineRule="auto"/>
              <w:jc w:val="center"/>
              <w:rPr>
                <w:rFonts w:eastAsia="Times New Roman" w:cs="Arial"/>
                <w:color w:val="124F1A" w:themeColor="accent3" w:themeShade="BF"/>
                <w:sz w:val="20"/>
                <w:szCs w:val="20"/>
                <w:lang w:eastAsia="es-CO"/>
              </w:rPr>
            </w:pPr>
            <w:r w:rsidRPr="000C5171">
              <w:rPr>
                <w:rFonts w:eastAsia="Times New Roman" w:cs="Arial"/>
                <w:color w:val="124F1A" w:themeColor="accent3" w:themeShade="BF"/>
                <w:sz w:val="20"/>
                <w:szCs w:val="20"/>
                <w:lang w:eastAsia="es-CO"/>
              </w:rPr>
              <w:t>2026</w:t>
            </w:r>
          </w:p>
        </w:tc>
        <w:tc>
          <w:tcPr>
            <w:tcW w:w="1418" w:type="dxa"/>
            <w:tcBorders>
              <w:top w:val="nil"/>
              <w:left w:val="nil"/>
              <w:bottom w:val="nil"/>
              <w:right w:val="single" w:sz="8" w:space="0" w:color="auto"/>
            </w:tcBorders>
            <w:shd w:val="clear" w:color="auto" w:fill="C1F0C7"/>
            <w:vAlign w:val="center"/>
            <w:hideMark/>
          </w:tcPr>
          <w:p w14:paraId="54BD287A" w14:textId="77777777" w:rsidR="00DE3C06" w:rsidRPr="000C5171" w:rsidRDefault="00DE3C06" w:rsidP="008A49D0">
            <w:pPr>
              <w:spacing w:after="0" w:line="240" w:lineRule="auto"/>
              <w:rPr>
                <w:rFonts w:eastAsia="Times New Roman" w:cs="Arial"/>
                <w:color w:val="124F1A" w:themeColor="accent3" w:themeShade="BF"/>
                <w:sz w:val="20"/>
                <w:szCs w:val="20"/>
                <w:lang w:eastAsia="es-CO"/>
              </w:rPr>
            </w:pPr>
            <w:r w:rsidRPr="000C5171">
              <w:rPr>
                <w:rFonts w:eastAsia="Times New Roman" w:cs="Arial"/>
                <w:color w:val="124F1A" w:themeColor="accent3" w:themeShade="BF"/>
                <w:sz w:val="20"/>
                <w:szCs w:val="20"/>
                <w:lang w:eastAsia="es-CO"/>
              </w:rPr>
              <w:t>En ejecución</w:t>
            </w:r>
          </w:p>
        </w:tc>
      </w:tr>
      <w:tr w:rsidR="00DE3C06" w:rsidRPr="000C5171" w14:paraId="61692D46" w14:textId="77777777" w:rsidTr="008A49D0">
        <w:trPr>
          <w:trHeight w:val="630"/>
        </w:trPr>
        <w:tc>
          <w:tcPr>
            <w:tcW w:w="1833" w:type="dxa"/>
            <w:tcBorders>
              <w:top w:val="nil"/>
              <w:left w:val="single" w:sz="8" w:space="0" w:color="auto"/>
              <w:bottom w:val="single" w:sz="8" w:space="0" w:color="47D459"/>
              <w:right w:val="single" w:sz="8" w:space="0" w:color="47D459"/>
            </w:tcBorders>
            <w:vAlign w:val="center"/>
            <w:hideMark/>
          </w:tcPr>
          <w:p w14:paraId="1D692253" w14:textId="77777777" w:rsidR="00DE3C06" w:rsidRPr="000C5171" w:rsidRDefault="00DE3C06" w:rsidP="008A49D0">
            <w:pPr>
              <w:spacing w:after="0" w:line="240" w:lineRule="auto"/>
              <w:jc w:val="center"/>
              <w:rPr>
                <w:rFonts w:eastAsia="Times New Roman" w:cs="Arial"/>
                <w:color w:val="124F1A" w:themeColor="accent3" w:themeShade="BF"/>
                <w:sz w:val="20"/>
                <w:szCs w:val="20"/>
                <w:lang w:eastAsia="es-CO"/>
              </w:rPr>
            </w:pPr>
            <w:r w:rsidRPr="000C5171">
              <w:rPr>
                <w:rFonts w:eastAsia="Times New Roman" w:cs="Arial"/>
                <w:color w:val="124F1A" w:themeColor="accent3" w:themeShade="BF"/>
                <w:sz w:val="20"/>
                <w:szCs w:val="20"/>
                <w:lang w:eastAsia="es-CO"/>
              </w:rPr>
              <w:t>202500000024476</w:t>
            </w:r>
          </w:p>
        </w:tc>
        <w:tc>
          <w:tcPr>
            <w:tcW w:w="5245" w:type="dxa"/>
            <w:tcBorders>
              <w:top w:val="nil"/>
              <w:left w:val="nil"/>
              <w:bottom w:val="single" w:sz="8" w:space="0" w:color="47D459"/>
              <w:right w:val="single" w:sz="8" w:space="0" w:color="47D459"/>
            </w:tcBorders>
            <w:vAlign w:val="center"/>
            <w:hideMark/>
          </w:tcPr>
          <w:p w14:paraId="65569168" w14:textId="77777777" w:rsidR="00DE3C06" w:rsidRPr="000C5171" w:rsidRDefault="00DE3C06" w:rsidP="008A49D0">
            <w:pPr>
              <w:spacing w:after="0" w:line="240" w:lineRule="auto"/>
              <w:rPr>
                <w:rFonts w:eastAsia="Times New Roman" w:cs="Arial"/>
                <w:color w:val="124F1A" w:themeColor="accent3" w:themeShade="BF"/>
                <w:sz w:val="20"/>
                <w:szCs w:val="20"/>
                <w:lang w:eastAsia="es-CO"/>
              </w:rPr>
            </w:pPr>
            <w:r w:rsidRPr="000C5171">
              <w:rPr>
                <w:rFonts w:eastAsia="Times New Roman" w:cs="Arial"/>
                <w:color w:val="124F1A" w:themeColor="accent3" w:themeShade="BF"/>
                <w:sz w:val="20"/>
                <w:szCs w:val="20"/>
                <w:lang w:eastAsia="es-CO"/>
              </w:rPr>
              <w:t>Fortalecimiento de la medición del avance en la implementación de los PDET Nacional</w:t>
            </w:r>
          </w:p>
        </w:tc>
        <w:tc>
          <w:tcPr>
            <w:tcW w:w="992" w:type="dxa"/>
            <w:tcBorders>
              <w:top w:val="nil"/>
              <w:left w:val="nil"/>
              <w:bottom w:val="single" w:sz="8" w:space="0" w:color="47D459"/>
              <w:right w:val="single" w:sz="8" w:space="0" w:color="47D459"/>
            </w:tcBorders>
            <w:vAlign w:val="center"/>
            <w:hideMark/>
          </w:tcPr>
          <w:p w14:paraId="45153905" w14:textId="77777777" w:rsidR="00DE3C06" w:rsidRPr="000C5171" w:rsidRDefault="00DE3C06" w:rsidP="008A49D0">
            <w:pPr>
              <w:spacing w:after="0" w:line="240" w:lineRule="auto"/>
              <w:jc w:val="center"/>
              <w:rPr>
                <w:rFonts w:eastAsia="Times New Roman" w:cs="Arial"/>
                <w:color w:val="124F1A" w:themeColor="accent3" w:themeShade="BF"/>
                <w:sz w:val="20"/>
                <w:szCs w:val="20"/>
                <w:lang w:eastAsia="es-CO"/>
              </w:rPr>
            </w:pPr>
            <w:r w:rsidRPr="000C5171">
              <w:rPr>
                <w:rFonts w:eastAsia="Times New Roman" w:cs="Arial"/>
                <w:color w:val="124F1A" w:themeColor="accent3" w:themeShade="BF"/>
                <w:sz w:val="20"/>
                <w:szCs w:val="20"/>
                <w:lang w:eastAsia="es-CO"/>
              </w:rPr>
              <w:t>2026</w:t>
            </w:r>
          </w:p>
        </w:tc>
        <w:tc>
          <w:tcPr>
            <w:tcW w:w="1418" w:type="dxa"/>
            <w:tcBorders>
              <w:top w:val="nil"/>
              <w:left w:val="nil"/>
              <w:bottom w:val="single" w:sz="8" w:space="0" w:color="47D459"/>
              <w:right w:val="single" w:sz="8" w:space="0" w:color="auto"/>
            </w:tcBorders>
            <w:vAlign w:val="center"/>
            <w:hideMark/>
          </w:tcPr>
          <w:p w14:paraId="5A39406B" w14:textId="77777777" w:rsidR="00DE3C06" w:rsidRPr="000C5171" w:rsidRDefault="00DE3C06" w:rsidP="008A49D0">
            <w:pPr>
              <w:spacing w:after="0" w:line="240" w:lineRule="auto"/>
              <w:rPr>
                <w:rFonts w:eastAsia="Times New Roman" w:cs="Arial"/>
                <w:color w:val="124F1A" w:themeColor="accent3" w:themeShade="BF"/>
                <w:sz w:val="20"/>
                <w:szCs w:val="20"/>
                <w:lang w:eastAsia="es-CO"/>
              </w:rPr>
            </w:pPr>
            <w:r w:rsidRPr="000C5171">
              <w:rPr>
                <w:rFonts w:eastAsia="Times New Roman" w:cs="Arial"/>
                <w:color w:val="124F1A" w:themeColor="accent3" w:themeShade="BF"/>
                <w:sz w:val="20"/>
                <w:szCs w:val="20"/>
                <w:lang w:eastAsia="es-CO"/>
              </w:rPr>
              <w:t>En ejecución</w:t>
            </w:r>
          </w:p>
        </w:tc>
      </w:tr>
      <w:tr w:rsidR="00DE3C06" w:rsidRPr="000C5171" w14:paraId="6F35994D" w14:textId="77777777" w:rsidTr="008A49D0">
        <w:trPr>
          <w:trHeight w:val="1068"/>
        </w:trPr>
        <w:tc>
          <w:tcPr>
            <w:tcW w:w="1833" w:type="dxa"/>
            <w:tcBorders>
              <w:top w:val="nil"/>
              <w:left w:val="single" w:sz="8" w:space="0" w:color="auto"/>
              <w:bottom w:val="single" w:sz="8" w:space="0" w:color="auto"/>
              <w:right w:val="single" w:sz="8" w:space="0" w:color="47D459"/>
            </w:tcBorders>
            <w:shd w:val="clear" w:color="auto" w:fill="C1F0C7"/>
            <w:vAlign w:val="center"/>
            <w:hideMark/>
          </w:tcPr>
          <w:p w14:paraId="1AFABF8F" w14:textId="77777777" w:rsidR="00DE3C06" w:rsidRPr="000C5171" w:rsidRDefault="00DE3C06" w:rsidP="008A49D0">
            <w:pPr>
              <w:spacing w:after="0" w:line="240" w:lineRule="auto"/>
              <w:jc w:val="center"/>
              <w:rPr>
                <w:rFonts w:eastAsia="Times New Roman" w:cs="Arial"/>
                <w:color w:val="124F1A" w:themeColor="accent3" w:themeShade="BF"/>
                <w:sz w:val="20"/>
                <w:szCs w:val="20"/>
                <w:lang w:eastAsia="es-CO"/>
              </w:rPr>
            </w:pPr>
            <w:r w:rsidRPr="000C5171">
              <w:rPr>
                <w:rFonts w:eastAsia="Times New Roman" w:cs="Arial"/>
                <w:color w:val="124F1A" w:themeColor="accent3" w:themeShade="BF"/>
                <w:sz w:val="20"/>
                <w:szCs w:val="20"/>
                <w:lang w:eastAsia="es-CO"/>
              </w:rPr>
              <w:t>202300000000025</w:t>
            </w:r>
          </w:p>
        </w:tc>
        <w:tc>
          <w:tcPr>
            <w:tcW w:w="5245" w:type="dxa"/>
            <w:tcBorders>
              <w:top w:val="nil"/>
              <w:left w:val="nil"/>
              <w:bottom w:val="single" w:sz="8" w:space="0" w:color="auto"/>
              <w:right w:val="single" w:sz="8" w:space="0" w:color="47D459"/>
            </w:tcBorders>
            <w:shd w:val="clear" w:color="auto" w:fill="C1F0C7"/>
            <w:vAlign w:val="center"/>
            <w:hideMark/>
          </w:tcPr>
          <w:p w14:paraId="20937E5C" w14:textId="77777777" w:rsidR="00DE3C06" w:rsidRPr="000C5171" w:rsidRDefault="00DE3C06" w:rsidP="008A49D0">
            <w:pPr>
              <w:spacing w:after="0" w:line="240" w:lineRule="auto"/>
              <w:rPr>
                <w:rFonts w:eastAsia="Times New Roman" w:cs="Arial"/>
                <w:color w:val="124F1A" w:themeColor="accent3" w:themeShade="BF"/>
                <w:sz w:val="20"/>
                <w:szCs w:val="20"/>
                <w:lang w:eastAsia="es-CO"/>
              </w:rPr>
            </w:pPr>
            <w:r w:rsidRPr="000C5171">
              <w:rPr>
                <w:rFonts w:eastAsia="Times New Roman" w:cs="Arial"/>
                <w:color w:val="124F1A" w:themeColor="accent3" w:themeShade="BF"/>
                <w:sz w:val="20"/>
                <w:szCs w:val="20"/>
                <w:lang w:eastAsia="es-CO"/>
              </w:rPr>
              <w:t>Fortalecimiento de las herramientas tecnológicas para el cumplimiento y soporte de los lineamientos establecidos por el Gobierno en materia de Tecnologías de la Información Nacional</w:t>
            </w:r>
          </w:p>
        </w:tc>
        <w:tc>
          <w:tcPr>
            <w:tcW w:w="992" w:type="dxa"/>
            <w:tcBorders>
              <w:top w:val="nil"/>
              <w:left w:val="nil"/>
              <w:bottom w:val="single" w:sz="8" w:space="0" w:color="auto"/>
              <w:right w:val="single" w:sz="8" w:space="0" w:color="47D459"/>
            </w:tcBorders>
            <w:shd w:val="clear" w:color="auto" w:fill="C1F0C7"/>
            <w:vAlign w:val="center"/>
            <w:hideMark/>
          </w:tcPr>
          <w:p w14:paraId="556345BE" w14:textId="77777777" w:rsidR="00DE3C06" w:rsidRPr="000C5171" w:rsidRDefault="00DE3C06" w:rsidP="008A49D0">
            <w:pPr>
              <w:spacing w:after="0" w:line="240" w:lineRule="auto"/>
              <w:jc w:val="center"/>
              <w:rPr>
                <w:rFonts w:eastAsia="Times New Roman" w:cs="Arial"/>
                <w:color w:val="124F1A" w:themeColor="accent3" w:themeShade="BF"/>
                <w:sz w:val="20"/>
                <w:szCs w:val="20"/>
                <w:lang w:eastAsia="es-CO"/>
              </w:rPr>
            </w:pPr>
            <w:r w:rsidRPr="000C5171">
              <w:rPr>
                <w:rFonts w:eastAsia="Times New Roman" w:cs="Arial"/>
                <w:color w:val="124F1A" w:themeColor="accent3" w:themeShade="BF"/>
                <w:sz w:val="20"/>
                <w:szCs w:val="20"/>
                <w:lang w:eastAsia="es-CO"/>
              </w:rPr>
              <w:t>2026</w:t>
            </w:r>
          </w:p>
        </w:tc>
        <w:tc>
          <w:tcPr>
            <w:tcW w:w="1418" w:type="dxa"/>
            <w:tcBorders>
              <w:top w:val="nil"/>
              <w:left w:val="nil"/>
              <w:bottom w:val="single" w:sz="8" w:space="0" w:color="auto"/>
              <w:right w:val="single" w:sz="8" w:space="0" w:color="auto"/>
            </w:tcBorders>
            <w:shd w:val="clear" w:color="auto" w:fill="C1F0C7"/>
            <w:vAlign w:val="center"/>
            <w:hideMark/>
          </w:tcPr>
          <w:p w14:paraId="5C777E50" w14:textId="77777777" w:rsidR="00DE3C06" w:rsidRPr="000C5171" w:rsidRDefault="00DE3C06" w:rsidP="008A49D0">
            <w:pPr>
              <w:spacing w:after="0" w:line="240" w:lineRule="auto"/>
              <w:rPr>
                <w:rFonts w:eastAsia="Times New Roman" w:cs="Arial"/>
                <w:color w:val="124F1A" w:themeColor="accent3" w:themeShade="BF"/>
                <w:sz w:val="20"/>
                <w:szCs w:val="20"/>
                <w:lang w:eastAsia="es-CO"/>
              </w:rPr>
            </w:pPr>
            <w:r w:rsidRPr="000C5171">
              <w:rPr>
                <w:rFonts w:eastAsia="Times New Roman" w:cs="Arial"/>
                <w:color w:val="124F1A" w:themeColor="accent3" w:themeShade="BF"/>
                <w:sz w:val="20"/>
                <w:szCs w:val="20"/>
                <w:lang w:eastAsia="es-CO"/>
              </w:rPr>
              <w:t>En ejecución</w:t>
            </w:r>
          </w:p>
        </w:tc>
      </w:tr>
    </w:tbl>
    <w:p w14:paraId="764721CB" w14:textId="77777777" w:rsidR="00DE3C06" w:rsidRPr="000C5171" w:rsidRDefault="00DE3C06" w:rsidP="00DE3C06">
      <w:pPr>
        <w:spacing w:line="276" w:lineRule="auto"/>
        <w:ind w:right="-1039"/>
        <w:jc w:val="center"/>
        <w:rPr>
          <w:rFonts w:cs="Tahoma"/>
          <w:sz w:val="22"/>
          <w:szCs w:val="22"/>
        </w:rPr>
      </w:pPr>
      <w:r w:rsidRPr="000C5171">
        <w:rPr>
          <w:rFonts w:cs="Tahoma"/>
          <w:sz w:val="22"/>
          <w:szCs w:val="22"/>
        </w:rPr>
        <w:t>Cifras en pesos.  Fuente: SIIF NACIÓN Fecha de corte 30 de junio de 2026</w:t>
      </w:r>
    </w:p>
    <w:p w14:paraId="21E86EA5" w14:textId="77777777" w:rsidR="00DE3C06" w:rsidRDefault="00DE3C06" w:rsidP="00DE3C06">
      <w:pPr>
        <w:spacing w:line="276" w:lineRule="auto"/>
        <w:jc w:val="both"/>
        <w:rPr>
          <w:rFonts w:eastAsia="Arial" w:cs="Tahoma"/>
          <w:b/>
          <w:bCs/>
          <w:i/>
          <w:iCs/>
          <w:sz w:val="22"/>
          <w:szCs w:val="22"/>
          <w:u w:val="single"/>
        </w:rPr>
      </w:pPr>
      <w:r w:rsidRPr="000C5171">
        <w:rPr>
          <w:rFonts w:eastAsia="Arial" w:cs="Tahoma"/>
          <w:b/>
          <w:bCs/>
          <w:i/>
          <w:iCs/>
          <w:sz w:val="22"/>
          <w:szCs w:val="22"/>
          <w:u w:val="single"/>
        </w:rPr>
        <w:t>Ver información ampliada con la relación de recursos por vigencia en ANEXO 24</w:t>
      </w:r>
      <w:r w:rsidRPr="000C5171">
        <w:rPr>
          <w:rFonts w:eastAsia="Arial" w:cs="Tahoma"/>
          <w:b/>
          <w:bCs/>
          <w:sz w:val="22"/>
          <w:szCs w:val="22"/>
          <w:u w:val="single"/>
        </w:rPr>
        <w:t>.</w:t>
      </w:r>
      <w:r w:rsidRPr="000C5171">
        <w:rPr>
          <w:rFonts w:eastAsia="Arial" w:cs="Tahoma"/>
          <w:b/>
          <w:bCs/>
          <w:i/>
          <w:iCs/>
          <w:sz w:val="22"/>
          <w:szCs w:val="22"/>
          <w:u w:val="single"/>
        </w:rPr>
        <w:t xml:space="preserve"> proyectos de inversión</w:t>
      </w:r>
    </w:p>
    <w:p w14:paraId="6CE97A31" w14:textId="77777777" w:rsidR="00DE3C06" w:rsidRPr="000C5171" w:rsidRDefault="00DE3C06" w:rsidP="00DE3C06">
      <w:pPr>
        <w:pStyle w:val="Ttulo1"/>
        <w:spacing w:line="276" w:lineRule="auto"/>
        <w:rPr>
          <w:rFonts w:cs="Tahoma"/>
          <w:color w:val="0070C0"/>
        </w:rPr>
      </w:pPr>
      <w:bookmarkStart w:id="41" w:name="_Toc234168104"/>
      <w:r w:rsidRPr="000C5171">
        <w:rPr>
          <w:rFonts w:cs="Tahoma"/>
          <w:color w:val="0070C0"/>
        </w:rPr>
        <w:t>8.5 Obras públicas</w:t>
      </w:r>
      <w:bookmarkEnd w:id="41"/>
    </w:p>
    <w:p w14:paraId="5401AA3A" w14:textId="77777777" w:rsidR="00DE3C06" w:rsidRPr="000C5171" w:rsidRDefault="00DE3C06" w:rsidP="00DE3C06">
      <w:pPr>
        <w:spacing w:line="276" w:lineRule="auto"/>
        <w:jc w:val="both"/>
        <w:rPr>
          <w:rFonts w:eastAsia="Arial" w:cs="Tahoma"/>
          <w:sz w:val="22"/>
          <w:szCs w:val="22"/>
          <w:lang w:val="es"/>
        </w:rPr>
      </w:pPr>
      <w:r w:rsidRPr="000C5171">
        <w:rPr>
          <w:rFonts w:eastAsia="Arial" w:cs="Tahoma"/>
          <w:sz w:val="22"/>
          <w:szCs w:val="22"/>
          <w:lang w:val="es"/>
        </w:rPr>
        <w:t xml:space="preserve">La información que se registra y suministra corresponde a las obras de infraestructura que aportan a la implementación de los PDET y que son ejecutadas por la misma entidad, tanto </w:t>
      </w:r>
      <w:r w:rsidRPr="000C5171">
        <w:rPr>
          <w:rFonts w:eastAsia="Arial" w:cs="Tahoma"/>
          <w:sz w:val="22"/>
          <w:szCs w:val="22"/>
          <w:lang w:val="es"/>
        </w:rPr>
        <w:lastRenderedPageBreak/>
        <w:t>con recursos de la subcuenta PDET del Fondo Colombia en Paz como con recursos asignados directamente a la ART a través del Presupuesto General de la Nación.</w:t>
      </w:r>
    </w:p>
    <w:p w14:paraId="5EEC59CC" w14:textId="77777777" w:rsidR="00DE3C06" w:rsidRPr="000C5171" w:rsidRDefault="00DE3C06" w:rsidP="00DE3C06">
      <w:pPr>
        <w:spacing w:line="276" w:lineRule="auto"/>
        <w:jc w:val="both"/>
        <w:rPr>
          <w:rFonts w:eastAsia="Arial" w:cs="Tahoma"/>
          <w:sz w:val="22"/>
          <w:szCs w:val="22"/>
        </w:rPr>
      </w:pPr>
      <w:r w:rsidRPr="000C5171">
        <w:rPr>
          <w:rFonts w:eastAsia="Arial" w:cs="Tahoma"/>
          <w:sz w:val="22"/>
          <w:szCs w:val="22"/>
        </w:rPr>
        <w:t xml:space="preserve">Para el reporte anexo, se indica que para las obras públicas en la columna de “nombre o razón social del contratista”, se reporta en los casos de convenio, el nombre del </w:t>
      </w:r>
      <w:proofErr w:type="spellStart"/>
      <w:r w:rsidRPr="000C5171">
        <w:rPr>
          <w:rFonts w:eastAsia="Arial" w:cs="Tahoma"/>
          <w:sz w:val="22"/>
          <w:szCs w:val="22"/>
        </w:rPr>
        <w:t>conviniente</w:t>
      </w:r>
      <w:proofErr w:type="spellEnd"/>
      <w:r w:rsidRPr="000C5171">
        <w:rPr>
          <w:rFonts w:eastAsia="Arial" w:cs="Tahoma"/>
          <w:sz w:val="22"/>
          <w:szCs w:val="22"/>
        </w:rPr>
        <w:t>; en el “nombre o razón social de interventor”, se reporta el nombre de supervisor y en el valor de proyecto se reporta el valor del aporte que ha realizado la ART al convenio.</w:t>
      </w:r>
    </w:p>
    <w:p w14:paraId="2C3DC213" w14:textId="77777777" w:rsidR="00DE3C06" w:rsidRDefault="00DE3C06" w:rsidP="00DE3C06">
      <w:pPr>
        <w:spacing w:line="276" w:lineRule="auto"/>
        <w:jc w:val="both"/>
        <w:rPr>
          <w:rFonts w:cs="Tahoma"/>
          <w:sz w:val="22"/>
          <w:szCs w:val="22"/>
        </w:rPr>
      </w:pPr>
      <w:r w:rsidRPr="000C5171">
        <w:rPr>
          <w:rFonts w:cs="Tahoma"/>
          <w:sz w:val="22"/>
          <w:szCs w:val="22"/>
        </w:rPr>
        <w:t xml:space="preserve">Se realiza la relación 157 de proyectos PDET de </w:t>
      </w:r>
      <w:r w:rsidRPr="000C5171">
        <w:rPr>
          <w:rFonts w:eastAsia="Arial" w:cs="Tahoma"/>
          <w:sz w:val="22"/>
          <w:szCs w:val="22"/>
          <w:lang w:val="es"/>
        </w:rPr>
        <w:t xml:space="preserve">infraestructura </w:t>
      </w:r>
      <w:r w:rsidRPr="000C5171">
        <w:rPr>
          <w:rFonts w:cs="Tahoma"/>
          <w:sz w:val="22"/>
          <w:szCs w:val="22"/>
        </w:rPr>
        <w:t xml:space="preserve">en </w:t>
      </w:r>
      <w:r w:rsidRPr="000C5171">
        <w:rPr>
          <w:rFonts w:cs="Tahoma"/>
          <w:b/>
          <w:bCs/>
          <w:sz w:val="22"/>
          <w:szCs w:val="22"/>
        </w:rPr>
        <w:t>ANEXO 25</w:t>
      </w:r>
      <w:r w:rsidRPr="000C5171">
        <w:rPr>
          <w:rFonts w:cs="Tahoma"/>
          <w:sz w:val="22"/>
          <w:szCs w:val="22"/>
        </w:rPr>
        <w:t>, incluyendo descripción general, estado y valor.</w:t>
      </w:r>
    </w:p>
    <w:p w14:paraId="584B1A02" w14:textId="77777777" w:rsidR="00DE3C06" w:rsidRPr="000C5171" w:rsidRDefault="00DE3C06" w:rsidP="00DE3C06">
      <w:pPr>
        <w:spacing w:line="276" w:lineRule="auto"/>
        <w:jc w:val="both"/>
        <w:rPr>
          <w:rFonts w:cs="Tahoma"/>
          <w:sz w:val="22"/>
          <w:szCs w:val="22"/>
        </w:rPr>
      </w:pPr>
    </w:p>
    <w:p w14:paraId="5431A707" w14:textId="77777777" w:rsidR="00DE3C06" w:rsidRPr="000C5171" w:rsidRDefault="00DE3C06">
      <w:pPr>
        <w:pStyle w:val="Ttulo1"/>
        <w:numPr>
          <w:ilvl w:val="0"/>
          <w:numId w:val="2"/>
        </w:numPr>
        <w:spacing w:line="276" w:lineRule="auto"/>
        <w:ind w:left="0" w:firstLine="0"/>
        <w:rPr>
          <w:rFonts w:cs="Tahoma"/>
        </w:rPr>
      </w:pPr>
      <w:bookmarkStart w:id="42" w:name="_Toc234168105"/>
      <w:r w:rsidRPr="000C5171">
        <w:rPr>
          <w:rFonts w:cs="Tahoma"/>
        </w:rPr>
        <w:t>INSTANCIAS DE GOBERNANZA INTERNA Y EXTERNA EN ENTIDADES</w:t>
      </w:r>
      <w:bookmarkEnd w:id="42"/>
      <w:r w:rsidRPr="000C5171">
        <w:rPr>
          <w:rFonts w:cs="Tahoma"/>
        </w:rPr>
        <w:t xml:space="preserve">   </w:t>
      </w:r>
    </w:p>
    <w:p w14:paraId="0FE18B64" w14:textId="77777777" w:rsidR="00DE3C06" w:rsidRPr="000C5171" w:rsidRDefault="00DE3C06" w:rsidP="00DE3C06">
      <w:pPr>
        <w:pStyle w:val="Ttulo1"/>
        <w:spacing w:line="276" w:lineRule="auto"/>
        <w:ind w:left="927"/>
        <w:rPr>
          <w:rFonts w:cs="Tahoma"/>
        </w:rPr>
      </w:pPr>
      <w:r w:rsidRPr="000C5171">
        <w:rPr>
          <w:rFonts w:cs="Tahoma"/>
        </w:rPr>
        <w:tab/>
      </w:r>
    </w:p>
    <w:p w14:paraId="5AAD389E" w14:textId="77777777" w:rsidR="00DE3C06" w:rsidRPr="000C5171" w:rsidRDefault="00DE3C06" w:rsidP="00DE3C06">
      <w:pPr>
        <w:spacing w:line="276" w:lineRule="auto"/>
        <w:rPr>
          <w:rFonts w:cs="Tahoma"/>
          <w:sz w:val="22"/>
          <w:szCs w:val="22"/>
        </w:rPr>
      </w:pPr>
      <w:r w:rsidRPr="000C5171">
        <w:rPr>
          <w:rFonts w:cs="Tahoma"/>
          <w:sz w:val="22"/>
          <w:szCs w:val="22"/>
        </w:rPr>
        <w:t>En relación con las instancias de gobernanza interna y externa, la ART presenta para los dos escenarios las instancias nacionales asociadas al PDET y de manera específica incluye la información relacionada con las instancias PDET PATR vigentes.</w:t>
      </w:r>
    </w:p>
    <w:p w14:paraId="4261F591" w14:textId="77777777" w:rsidR="00DE3C06" w:rsidRPr="000C5171" w:rsidRDefault="00DE3C06" w:rsidP="00DE3C06">
      <w:pPr>
        <w:pStyle w:val="Ttulo1"/>
        <w:spacing w:line="276" w:lineRule="auto"/>
        <w:rPr>
          <w:rFonts w:cs="Tahoma"/>
          <w:color w:val="0070C0"/>
        </w:rPr>
      </w:pPr>
      <w:bookmarkStart w:id="43" w:name="_Toc234168106"/>
      <w:r w:rsidRPr="000C5171">
        <w:rPr>
          <w:rFonts w:cs="Tahoma"/>
          <w:color w:val="0070C0"/>
        </w:rPr>
        <w:t>9.1 Instancias de participación externas</w:t>
      </w:r>
      <w:bookmarkEnd w:id="43"/>
      <w:r w:rsidRPr="000C5171">
        <w:rPr>
          <w:rFonts w:cs="Tahoma"/>
          <w:color w:val="0070C0"/>
        </w:rPr>
        <w:t xml:space="preserve">  </w:t>
      </w:r>
      <w:r w:rsidRPr="000C5171">
        <w:rPr>
          <w:rFonts w:cs="Tahoma"/>
          <w:color w:val="0070C0"/>
        </w:rPr>
        <w:tab/>
      </w:r>
    </w:p>
    <w:p w14:paraId="4316924B" w14:textId="77777777" w:rsidR="00DE3C06" w:rsidRPr="000C5171" w:rsidRDefault="00DE3C06">
      <w:pPr>
        <w:pStyle w:val="Prrafodelista"/>
        <w:numPr>
          <w:ilvl w:val="0"/>
          <w:numId w:val="30"/>
        </w:numPr>
        <w:spacing w:line="276" w:lineRule="auto"/>
        <w:rPr>
          <w:rFonts w:cs="Tahoma"/>
          <w:b/>
          <w:bCs/>
          <w:sz w:val="22"/>
          <w:szCs w:val="22"/>
          <w:u w:val="single"/>
        </w:rPr>
      </w:pPr>
      <w:r w:rsidRPr="000C5171">
        <w:rPr>
          <w:rFonts w:cs="Tahoma"/>
          <w:b/>
          <w:bCs/>
          <w:sz w:val="22"/>
          <w:szCs w:val="22"/>
          <w:u w:val="single"/>
        </w:rPr>
        <w:t>A NIVEL NACIONAL, SE REPORTAN LAS SIGUIENTES INSTANCIAS:</w:t>
      </w:r>
    </w:p>
    <w:p w14:paraId="53F7202F" w14:textId="77777777" w:rsidR="00DE3C06" w:rsidRPr="000C5171" w:rsidRDefault="00DE3C06" w:rsidP="00DE3C06">
      <w:pPr>
        <w:pStyle w:val="Prrafodelista"/>
        <w:spacing w:line="276" w:lineRule="auto"/>
        <w:rPr>
          <w:rFonts w:cs="Tahoma"/>
          <w:sz w:val="22"/>
          <w:szCs w:val="22"/>
          <w:u w:val="single"/>
        </w:rPr>
      </w:pPr>
    </w:p>
    <w:p w14:paraId="4A9A9C37" w14:textId="77777777" w:rsidR="00DE3C06" w:rsidRPr="000C5171" w:rsidRDefault="00DE3C06">
      <w:pPr>
        <w:pStyle w:val="Prrafodelista"/>
        <w:numPr>
          <w:ilvl w:val="0"/>
          <w:numId w:val="31"/>
        </w:numPr>
        <w:spacing w:line="276" w:lineRule="auto"/>
        <w:ind w:left="1276"/>
        <w:jc w:val="both"/>
        <w:rPr>
          <w:rFonts w:cs="Tahoma"/>
          <w:sz w:val="22"/>
          <w:szCs w:val="22"/>
        </w:rPr>
      </w:pPr>
      <w:r w:rsidRPr="000C5171">
        <w:rPr>
          <w:rFonts w:cs="Tahoma"/>
          <w:sz w:val="22"/>
          <w:szCs w:val="22"/>
        </w:rPr>
        <w:t>Comité Instancia de Articulación Gobierno JEP (Artículo 205 Ley 2294 de 2023)</w:t>
      </w:r>
    </w:p>
    <w:p w14:paraId="2867CE76" w14:textId="77777777" w:rsidR="00DE3C06" w:rsidRPr="000C5171" w:rsidRDefault="00DE3C06">
      <w:pPr>
        <w:pStyle w:val="Prrafodelista"/>
        <w:numPr>
          <w:ilvl w:val="0"/>
          <w:numId w:val="31"/>
        </w:numPr>
        <w:spacing w:line="276" w:lineRule="auto"/>
        <w:ind w:left="1276"/>
        <w:jc w:val="both"/>
        <w:rPr>
          <w:rFonts w:cs="Tahoma"/>
          <w:sz w:val="22"/>
          <w:szCs w:val="22"/>
        </w:rPr>
      </w:pPr>
      <w:r w:rsidRPr="000C5171">
        <w:rPr>
          <w:rFonts w:cs="Tahoma"/>
          <w:sz w:val="22"/>
          <w:szCs w:val="22"/>
        </w:rPr>
        <w:t>Comisión Intersectorial de DDHH y DIH (Artículo 2.1.7.2.1.  y siguientes del Decreto 1081 de 2015)</w:t>
      </w:r>
    </w:p>
    <w:p w14:paraId="31684E99" w14:textId="77777777" w:rsidR="00DE3C06" w:rsidRPr="000C5171" w:rsidRDefault="00DE3C06">
      <w:pPr>
        <w:pStyle w:val="Prrafodelista"/>
        <w:numPr>
          <w:ilvl w:val="0"/>
          <w:numId w:val="31"/>
        </w:numPr>
        <w:spacing w:line="276" w:lineRule="auto"/>
        <w:ind w:left="1276"/>
        <w:jc w:val="both"/>
        <w:rPr>
          <w:rFonts w:cs="Tahoma"/>
          <w:sz w:val="22"/>
          <w:szCs w:val="22"/>
        </w:rPr>
      </w:pPr>
      <w:r w:rsidRPr="000C5171">
        <w:rPr>
          <w:rFonts w:cs="Tahoma"/>
          <w:sz w:val="22"/>
          <w:szCs w:val="22"/>
        </w:rPr>
        <w:t>CIPRUNNA Comisión Intersectorial para la prevención del reclutamiento, la utilización y la violencia sexual contra niños, niñas y adolescentes por grupos armados al margen de la ley y por grupos delictivos organizados</w:t>
      </w:r>
      <w:r w:rsidRPr="000C5171">
        <w:rPr>
          <w:rFonts w:cs="Tahoma"/>
          <w:sz w:val="22"/>
          <w:szCs w:val="22"/>
        </w:rPr>
        <w:tab/>
        <w:t>(Decreto 2081 de 2019)</w:t>
      </w:r>
    </w:p>
    <w:p w14:paraId="099C133C" w14:textId="77777777" w:rsidR="00DE3C06" w:rsidRPr="000C5171" w:rsidRDefault="00DE3C06">
      <w:pPr>
        <w:pStyle w:val="Prrafodelista"/>
        <w:numPr>
          <w:ilvl w:val="0"/>
          <w:numId w:val="31"/>
        </w:numPr>
        <w:spacing w:line="276" w:lineRule="auto"/>
        <w:ind w:left="1276"/>
        <w:jc w:val="both"/>
        <w:rPr>
          <w:rFonts w:cs="Tahoma"/>
          <w:sz w:val="22"/>
          <w:szCs w:val="22"/>
        </w:rPr>
      </w:pPr>
      <w:r w:rsidRPr="000C5171">
        <w:rPr>
          <w:rFonts w:cs="Tahoma"/>
          <w:sz w:val="22"/>
          <w:szCs w:val="22"/>
        </w:rPr>
        <w:t>Comisión Interinstitucional de Alto Nivel para atender Comunidad AWA</w:t>
      </w:r>
      <w:r w:rsidRPr="000C5171">
        <w:rPr>
          <w:rFonts w:cs="Tahoma"/>
          <w:sz w:val="22"/>
          <w:szCs w:val="22"/>
        </w:rPr>
        <w:tab/>
        <w:t>(Auto 620 de 2017)</w:t>
      </w:r>
    </w:p>
    <w:p w14:paraId="439A9B7F" w14:textId="77777777" w:rsidR="00DE3C06" w:rsidRPr="000C5171" w:rsidRDefault="00DE3C06">
      <w:pPr>
        <w:pStyle w:val="Prrafodelista"/>
        <w:numPr>
          <w:ilvl w:val="0"/>
          <w:numId w:val="31"/>
        </w:numPr>
        <w:spacing w:line="276" w:lineRule="auto"/>
        <w:ind w:left="1276"/>
        <w:jc w:val="both"/>
        <w:rPr>
          <w:rFonts w:cs="Tahoma"/>
          <w:sz w:val="22"/>
          <w:szCs w:val="22"/>
        </w:rPr>
      </w:pPr>
      <w:r w:rsidRPr="000C5171">
        <w:rPr>
          <w:rFonts w:cs="Tahoma"/>
          <w:sz w:val="22"/>
          <w:szCs w:val="22"/>
        </w:rPr>
        <w:t>Consejo Directivo de la ART (Artículos 2 y 3 del Decreto 1223 de 2020)</w:t>
      </w:r>
    </w:p>
    <w:p w14:paraId="1D4C218B" w14:textId="77777777" w:rsidR="00DE3C06" w:rsidRPr="000C5171" w:rsidRDefault="00DE3C06">
      <w:pPr>
        <w:pStyle w:val="Prrafodelista"/>
        <w:numPr>
          <w:ilvl w:val="0"/>
          <w:numId w:val="31"/>
        </w:numPr>
        <w:spacing w:line="276" w:lineRule="auto"/>
        <w:ind w:left="1276"/>
        <w:jc w:val="both"/>
        <w:rPr>
          <w:rFonts w:cs="Tahoma"/>
          <w:sz w:val="22"/>
          <w:szCs w:val="22"/>
        </w:rPr>
      </w:pPr>
      <w:r w:rsidRPr="000C5171">
        <w:rPr>
          <w:rFonts w:cs="Tahoma"/>
          <w:sz w:val="22"/>
          <w:szCs w:val="22"/>
        </w:rPr>
        <w:t>Mesas del Plan nacional de infraestructura de datos (Resolución 460 de 2022 y decreto 1389 de 2022)</w:t>
      </w:r>
    </w:p>
    <w:p w14:paraId="0CAF9323" w14:textId="77777777" w:rsidR="00DE3C06" w:rsidRPr="000C5171" w:rsidRDefault="00DE3C06" w:rsidP="00DE3C06">
      <w:pPr>
        <w:tabs>
          <w:tab w:val="left" w:pos="709"/>
        </w:tabs>
        <w:spacing w:line="276" w:lineRule="auto"/>
        <w:ind w:left="993"/>
        <w:jc w:val="both"/>
        <w:rPr>
          <w:rFonts w:cs="Tahoma"/>
          <w:sz w:val="22"/>
          <w:szCs w:val="22"/>
        </w:rPr>
      </w:pPr>
      <w:r w:rsidRPr="000C5171">
        <w:rPr>
          <w:rFonts w:cs="Tahoma"/>
          <w:sz w:val="22"/>
          <w:szCs w:val="22"/>
        </w:rPr>
        <w:lastRenderedPageBreak/>
        <w:t xml:space="preserve">Para ampliar información de </w:t>
      </w:r>
      <w:r w:rsidRPr="000C5171">
        <w:rPr>
          <w:rFonts w:cs="Tahoma"/>
          <w:b/>
          <w:bCs/>
          <w:sz w:val="22"/>
          <w:szCs w:val="22"/>
        </w:rPr>
        <w:t>instancias de participación externas de Orden Nacional,</w:t>
      </w:r>
      <w:r w:rsidRPr="000C5171">
        <w:rPr>
          <w:rFonts w:cs="Tahoma"/>
          <w:sz w:val="22"/>
          <w:szCs w:val="22"/>
        </w:rPr>
        <w:t xml:space="preserve"> se incluye </w:t>
      </w:r>
      <w:r w:rsidRPr="000C5171">
        <w:rPr>
          <w:rFonts w:cs="Tahoma"/>
          <w:b/>
          <w:bCs/>
          <w:sz w:val="22"/>
          <w:szCs w:val="22"/>
        </w:rPr>
        <w:t>ANEXO</w:t>
      </w:r>
      <w:r w:rsidRPr="000C5171">
        <w:rPr>
          <w:rFonts w:cs="Tahoma"/>
          <w:sz w:val="22"/>
          <w:szCs w:val="22"/>
        </w:rPr>
        <w:t xml:space="preserve"> 26.A</w:t>
      </w:r>
      <w:r w:rsidRPr="000C5171">
        <w:rPr>
          <w:rFonts w:cs="Tahoma"/>
          <w:sz w:val="22"/>
          <w:szCs w:val="22"/>
          <w:u w:val="single"/>
        </w:rPr>
        <w:t xml:space="preserve"> </w:t>
      </w:r>
      <w:r w:rsidRPr="000C5171">
        <w:rPr>
          <w:rFonts w:cs="Tahoma"/>
          <w:sz w:val="22"/>
          <w:szCs w:val="22"/>
        </w:rPr>
        <w:t>que incluye la descripción de participantes y frecuencia de reunión.</w:t>
      </w:r>
    </w:p>
    <w:p w14:paraId="46AC5DB0" w14:textId="77777777" w:rsidR="00DE3C06" w:rsidRPr="000C5171" w:rsidRDefault="00DE3C06" w:rsidP="00DE3C06">
      <w:pPr>
        <w:spacing w:line="276" w:lineRule="auto"/>
        <w:rPr>
          <w:rFonts w:cs="Tahoma"/>
          <w:sz w:val="22"/>
          <w:szCs w:val="22"/>
        </w:rPr>
      </w:pPr>
    </w:p>
    <w:p w14:paraId="5D92F6B6" w14:textId="77777777" w:rsidR="00DE3C06" w:rsidRPr="000C5171" w:rsidRDefault="00DE3C06" w:rsidP="00DE3C06">
      <w:pPr>
        <w:spacing w:line="276" w:lineRule="auto"/>
        <w:ind w:left="708"/>
        <w:jc w:val="both"/>
        <w:rPr>
          <w:rFonts w:cs="Tahoma"/>
          <w:sz w:val="22"/>
          <w:szCs w:val="22"/>
        </w:rPr>
      </w:pPr>
      <w:r w:rsidRPr="000C5171">
        <w:rPr>
          <w:rFonts w:cs="Tahoma"/>
          <w:sz w:val="22"/>
          <w:szCs w:val="22"/>
        </w:rPr>
        <w:t>Por otra parte, se incluyen otras instancias de nivel Nacional relacionadas con el PDET tales como:</w:t>
      </w:r>
    </w:p>
    <w:p w14:paraId="6A0F92C9" w14:textId="77777777" w:rsidR="00DE3C06" w:rsidRPr="000C5171" w:rsidRDefault="00DE3C06">
      <w:pPr>
        <w:pStyle w:val="Prrafodelista"/>
        <w:numPr>
          <w:ilvl w:val="0"/>
          <w:numId w:val="13"/>
        </w:numPr>
        <w:spacing w:line="276" w:lineRule="auto"/>
        <w:jc w:val="both"/>
        <w:rPr>
          <w:rFonts w:cs="Tahoma"/>
          <w:b/>
          <w:bCs/>
          <w:sz w:val="22"/>
          <w:szCs w:val="22"/>
          <w:u w:val="single"/>
        </w:rPr>
      </w:pPr>
      <w:r w:rsidRPr="000C5171">
        <w:rPr>
          <w:rFonts w:cs="Tahoma"/>
          <w:b/>
          <w:bCs/>
          <w:sz w:val="22"/>
          <w:szCs w:val="22"/>
          <w:u w:val="single"/>
        </w:rPr>
        <w:t>INSTANCIAS DE GOBIERNO Y GESTIÓN DE LOS PACTOS: CATATUMBO, NARIÑO Y CAUCA.</w:t>
      </w:r>
    </w:p>
    <w:p w14:paraId="727F0DB8" w14:textId="77777777" w:rsidR="00DE3C06" w:rsidRPr="000C5171" w:rsidRDefault="00DE3C06" w:rsidP="00DE3C06">
      <w:pPr>
        <w:pStyle w:val="Prrafodelista"/>
        <w:spacing w:line="276" w:lineRule="auto"/>
        <w:rPr>
          <w:rFonts w:cs="Tahoma"/>
          <w:bCs/>
          <w:sz w:val="22"/>
          <w:szCs w:val="22"/>
        </w:rPr>
      </w:pPr>
    </w:p>
    <w:p w14:paraId="0F3E50D8" w14:textId="77777777" w:rsidR="00DE3C06" w:rsidRPr="000C5171" w:rsidRDefault="00DE3C06">
      <w:pPr>
        <w:pStyle w:val="Prrafodelista"/>
        <w:numPr>
          <w:ilvl w:val="0"/>
          <w:numId w:val="26"/>
        </w:numPr>
        <w:spacing w:line="276" w:lineRule="auto"/>
        <w:ind w:left="1276"/>
        <w:jc w:val="both"/>
        <w:rPr>
          <w:rFonts w:cs="Tahoma"/>
          <w:bCs/>
          <w:sz w:val="22"/>
          <w:szCs w:val="22"/>
        </w:rPr>
      </w:pPr>
      <w:r w:rsidRPr="000C5171">
        <w:rPr>
          <w:rFonts w:cs="Tahoma"/>
          <w:bCs/>
          <w:sz w:val="22"/>
          <w:szCs w:val="22"/>
        </w:rPr>
        <w:t>Comité Técnico del Pacto Social para la Transformación Territorial del Catatumbo</w:t>
      </w:r>
    </w:p>
    <w:p w14:paraId="64B031D4" w14:textId="77777777" w:rsidR="00DE3C06" w:rsidRPr="000C5171" w:rsidRDefault="00DE3C06">
      <w:pPr>
        <w:pStyle w:val="Prrafodelista"/>
        <w:numPr>
          <w:ilvl w:val="0"/>
          <w:numId w:val="26"/>
        </w:numPr>
        <w:spacing w:line="276" w:lineRule="auto"/>
        <w:ind w:left="1276"/>
        <w:jc w:val="both"/>
        <w:rPr>
          <w:rFonts w:cs="Tahoma"/>
          <w:bCs/>
          <w:sz w:val="22"/>
          <w:szCs w:val="22"/>
        </w:rPr>
      </w:pPr>
      <w:r w:rsidRPr="000C5171">
        <w:rPr>
          <w:rFonts w:cs="Tahoma"/>
          <w:bCs/>
          <w:sz w:val="22"/>
          <w:szCs w:val="22"/>
        </w:rPr>
        <w:t>Comité Técnico del Pacto Territorial para la Vida y la Paz en el departamento de Nariño</w:t>
      </w:r>
    </w:p>
    <w:p w14:paraId="5674772B" w14:textId="77777777" w:rsidR="00DE3C06" w:rsidRPr="000C5171" w:rsidRDefault="00DE3C06">
      <w:pPr>
        <w:pStyle w:val="Prrafodelista"/>
        <w:numPr>
          <w:ilvl w:val="0"/>
          <w:numId w:val="26"/>
        </w:numPr>
        <w:spacing w:line="276" w:lineRule="auto"/>
        <w:ind w:left="1276"/>
        <w:jc w:val="both"/>
        <w:rPr>
          <w:rFonts w:cs="Tahoma"/>
          <w:bCs/>
          <w:sz w:val="22"/>
          <w:szCs w:val="22"/>
        </w:rPr>
      </w:pPr>
      <w:r w:rsidRPr="000C5171">
        <w:rPr>
          <w:rFonts w:cs="Tahoma"/>
          <w:bCs/>
          <w:sz w:val="22"/>
          <w:szCs w:val="22"/>
        </w:rPr>
        <w:t>Comité Técnico del Pacto Territorial Cauca “Por la Transformación Territorial y Consolidación de la Paz Total”</w:t>
      </w:r>
    </w:p>
    <w:p w14:paraId="4D0C8EB4" w14:textId="77777777" w:rsidR="00DE3C06" w:rsidRPr="000C5171" w:rsidRDefault="00DE3C06" w:rsidP="00DE3C06">
      <w:pPr>
        <w:spacing w:line="276" w:lineRule="auto"/>
        <w:ind w:left="993"/>
        <w:jc w:val="both"/>
        <w:rPr>
          <w:rFonts w:cs="Tahoma"/>
          <w:i/>
          <w:sz w:val="22"/>
          <w:szCs w:val="22"/>
        </w:rPr>
      </w:pPr>
      <w:r w:rsidRPr="000C5171">
        <w:rPr>
          <w:rFonts w:cs="Tahoma"/>
          <w:i/>
          <w:sz w:val="22"/>
          <w:szCs w:val="22"/>
        </w:rPr>
        <w:t>Nota: La información fue organizada con base en las minutas de los Pactos Territoriales cargadas y en la referencia al reglamento interno y las actas de los comités solicitada para el soporte documental</w:t>
      </w:r>
    </w:p>
    <w:p w14:paraId="75CB604F" w14:textId="77777777" w:rsidR="00DE3C06" w:rsidRPr="000C5171" w:rsidRDefault="00DE3C06" w:rsidP="00DE3C06">
      <w:pPr>
        <w:spacing w:line="276" w:lineRule="auto"/>
        <w:ind w:left="993"/>
        <w:jc w:val="both"/>
        <w:rPr>
          <w:rFonts w:cs="Tahoma"/>
          <w:sz w:val="22"/>
          <w:szCs w:val="22"/>
        </w:rPr>
      </w:pPr>
      <w:r w:rsidRPr="000C5171">
        <w:rPr>
          <w:rFonts w:cs="Tahoma"/>
          <w:sz w:val="22"/>
          <w:szCs w:val="22"/>
        </w:rPr>
        <w:t xml:space="preserve">Para ampliar información de instancias de participación externas de Orden Nacional, específicamente sobre los </w:t>
      </w:r>
      <w:r w:rsidRPr="000C5171">
        <w:rPr>
          <w:rFonts w:cs="Tahoma"/>
          <w:b/>
          <w:bCs/>
          <w:sz w:val="22"/>
          <w:szCs w:val="22"/>
        </w:rPr>
        <w:t xml:space="preserve">Pactos Territoriales, se incluye ANEXO 26 B </w:t>
      </w:r>
      <w:r w:rsidRPr="000C5171">
        <w:rPr>
          <w:rFonts w:cs="Tahoma"/>
          <w:sz w:val="22"/>
          <w:szCs w:val="22"/>
        </w:rPr>
        <w:t xml:space="preserve">que incluye la descripción de participantes y frecuencia de reunión  </w:t>
      </w:r>
    </w:p>
    <w:p w14:paraId="163ABD80" w14:textId="77777777" w:rsidR="00DE3C06" w:rsidRPr="000C5171" w:rsidRDefault="00DE3C06" w:rsidP="00DE3C06">
      <w:pPr>
        <w:spacing w:line="276" w:lineRule="auto"/>
        <w:jc w:val="both"/>
        <w:rPr>
          <w:rFonts w:cs="Tahoma"/>
          <w:color w:val="0070C0"/>
          <w:sz w:val="22"/>
          <w:szCs w:val="22"/>
        </w:rPr>
      </w:pPr>
      <w:r w:rsidRPr="000C5171">
        <w:rPr>
          <w:rFonts w:cs="Tahoma"/>
          <w:color w:val="0070C0"/>
          <w:sz w:val="22"/>
          <w:szCs w:val="22"/>
        </w:rPr>
        <w:t>9.1.1 Otros espacios comunitarios en el marco del PDET-PATR</w:t>
      </w:r>
    </w:p>
    <w:p w14:paraId="66848248" w14:textId="77777777" w:rsidR="00DE3C06" w:rsidRPr="000C5171" w:rsidRDefault="00DE3C06" w:rsidP="00DE3C06">
      <w:pPr>
        <w:shd w:val="clear" w:color="auto" w:fill="FFFFFF"/>
        <w:spacing w:after="0" w:line="276" w:lineRule="auto"/>
        <w:jc w:val="both"/>
        <w:textAlignment w:val="baseline"/>
        <w:rPr>
          <w:rFonts w:eastAsia="Times New Roman" w:cs="Tahoma"/>
          <w:sz w:val="22"/>
          <w:szCs w:val="22"/>
          <w:lang w:eastAsia="es-CO"/>
        </w:rPr>
      </w:pPr>
    </w:p>
    <w:p w14:paraId="0486F97F" w14:textId="77777777" w:rsidR="00DE3C06" w:rsidRPr="000C5171" w:rsidRDefault="00DE3C06" w:rsidP="00DE3C06">
      <w:pPr>
        <w:shd w:val="clear" w:color="auto" w:fill="FFFFFF"/>
        <w:spacing w:after="0" w:line="276" w:lineRule="auto"/>
        <w:jc w:val="both"/>
        <w:textAlignment w:val="baseline"/>
        <w:rPr>
          <w:rFonts w:eastAsia="Times New Roman" w:cs="Tahoma"/>
          <w:sz w:val="22"/>
          <w:szCs w:val="22"/>
          <w:lang w:eastAsia="es-CO"/>
        </w:rPr>
      </w:pPr>
      <w:r w:rsidRPr="000C5171">
        <w:rPr>
          <w:rFonts w:eastAsia="Times New Roman" w:cs="Tahoma"/>
          <w:sz w:val="22"/>
          <w:szCs w:val="22"/>
          <w:lang w:eastAsia="es-CO"/>
        </w:rPr>
        <w:t xml:space="preserve">Sobre este último punto se indica la información relacionada con los espacios del MEC y de las Mesas Comunitarias Municipales MCM, en particular estos últimos, teniendo en cuenta lo dispuesto en la Resolución 1204 de 2025 "por medio de la cual se reconocen las Mesas Comunitarias Municipales y Subregionales, </w:t>
      </w:r>
      <w:r w:rsidRPr="000C5171">
        <w:rPr>
          <w:rFonts w:eastAsia="Times New Roman" w:cs="Tahoma"/>
          <w:b/>
          <w:bCs/>
          <w:sz w:val="22"/>
          <w:szCs w:val="22"/>
          <w:lang w:eastAsia="es-CO"/>
        </w:rPr>
        <w:t>se crea la mesa Nacional, como espacios de participación ciudadana en los municipios PDET, y se imparten lineamientos para su conformación, operación, coordinación y articulación</w:t>
      </w:r>
      <w:r w:rsidRPr="000C5171">
        <w:rPr>
          <w:rFonts w:eastAsia="Times New Roman" w:cs="Tahoma"/>
          <w:sz w:val="22"/>
          <w:szCs w:val="22"/>
          <w:lang w:eastAsia="es-CO"/>
        </w:rPr>
        <w:t>". Lo anterior teniendo en cuenta que si bien no es una instancia de gobernanza es uno de los mecanismos definidos por la ART para asegurar la participación de los actores territoriales públicos y privados, la sociedad civil, las organizaciones sociales, comunitarias y productivas rurales en la implementación de los PDET, conforme lo establecido en el artículo 1 del Decreto 1223 de 2020. </w:t>
      </w:r>
    </w:p>
    <w:p w14:paraId="491E41D9" w14:textId="77777777" w:rsidR="00DE3C06" w:rsidRPr="000C5171" w:rsidRDefault="00DE3C06" w:rsidP="00DE3C06">
      <w:pPr>
        <w:shd w:val="clear" w:color="auto" w:fill="FFFFFF"/>
        <w:spacing w:after="0" w:line="276" w:lineRule="auto"/>
        <w:jc w:val="both"/>
        <w:textAlignment w:val="baseline"/>
        <w:rPr>
          <w:rFonts w:eastAsia="Times New Roman" w:cs="Tahoma"/>
          <w:sz w:val="22"/>
          <w:szCs w:val="22"/>
          <w:lang w:eastAsia="es-CO"/>
        </w:rPr>
      </w:pPr>
    </w:p>
    <w:p w14:paraId="28D0EAF7" w14:textId="77777777" w:rsidR="00DE3C06" w:rsidRPr="000C5171" w:rsidRDefault="00DE3C06" w:rsidP="00DE3C06">
      <w:pPr>
        <w:shd w:val="clear" w:color="auto" w:fill="FFFFFF"/>
        <w:spacing w:after="0" w:line="276" w:lineRule="auto"/>
        <w:jc w:val="both"/>
        <w:textAlignment w:val="baseline"/>
        <w:rPr>
          <w:rFonts w:cs="Tahoma"/>
          <w:sz w:val="22"/>
          <w:szCs w:val="22"/>
        </w:rPr>
      </w:pPr>
      <w:r w:rsidRPr="000C5171">
        <w:rPr>
          <w:rFonts w:cs="Tahoma"/>
          <w:sz w:val="22"/>
          <w:szCs w:val="22"/>
        </w:rPr>
        <w:t>A continuación, se describe cada uno de los espacios:</w:t>
      </w:r>
    </w:p>
    <w:p w14:paraId="71D2C3FE" w14:textId="77777777" w:rsidR="00DE3C06" w:rsidRPr="000C5171" w:rsidRDefault="00DE3C06" w:rsidP="00DE3C06">
      <w:pPr>
        <w:shd w:val="clear" w:color="auto" w:fill="FFFFFF"/>
        <w:spacing w:after="0" w:line="276" w:lineRule="auto"/>
        <w:jc w:val="both"/>
        <w:textAlignment w:val="baseline"/>
        <w:rPr>
          <w:rFonts w:cs="Tahoma"/>
          <w:b/>
          <w:bCs/>
          <w:sz w:val="22"/>
          <w:szCs w:val="22"/>
        </w:rPr>
      </w:pPr>
    </w:p>
    <w:p w14:paraId="3DB5E54E" w14:textId="77777777" w:rsidR="00DE3C06" w:rsidRPr="000C5171" w:rsidRDefault="00DE3C06">
      <w:pPr>
        <w:pStyle w:val="Prrafodelista"/>
        <w:numPr>
          <w:ilvl w:val="0"/>
          <w:numId w:val="13"/>
        </w:numPr>
        <w:shd w:val="clear" w:color="auto" w:fill="FFFFFF"/>
        <w:spacing w:after="0" w:line="276" w:lineRule="auto"/>
        <w:jc w:val="both"/>
        <w:textAlignment w:val="baseline"/>
        <w:rPr>
          <w:rFonts w:eastAsia="Times New Roman" w:cs="Tahoma"/>
          <w:b/>
          <w:bCs/>
          <w:sz w:val="22"/>
          <w:szCs w:val="22"/>
          <w:lang w:eastAsia="es-CO"/>
        </w:rPr>
      </w:pPr>
      <w:r w:rsidRPr="000C5171">
        <w:rPr>
          <w:rFonts w:cs="Tahoma"/>
          <w:b/>
          <w:bCs/>
          <w:sz w:val="22"/>
          <w:szCs w:val="22"/>
        </w:rPr>
        <w:t>MESAS COMUNITARIAS MUNICIPALES, SUBREGIONALES Y NACIONAL</w:t>
      </w:r>
      <w:r w:rsidRPr="000C5171">
        <w:rPr>
          <w:rFonts w:eastAsia="Times New Roman" w:cs="Tahoma"/>
          <w:b/>
          <w:bCs/>
          <w:sz w:val="22"/>
          <w:szCs w:val="22"/>
          <w:lang w:eastAsia="es-CO"/>
        </w:rPr>
        <w:t xml:space="preserve"> </w:t>
      </w:r>
    </w:p>
    <w:p w14:paraId="062AA8E5" w14:textId="77777777" w:rsidR="00DE3C06" w:rsidRPr="000C5171" w:rsidRDefault="00DE3C06" w:rsidP="00DE3C06">
      <w:pPr>
        <w:shd w:val="clear" w:color="auto" w:fill="FFFFFF"/>
        <w:spacing w:before="240" w:after="0" w:line="276" w:lineRule="auto"/>
        <w:ind w:left="709"/>
        <w:jc w:val="both"/>
        <w:textAlignment w:val="baseline"/>
        <w:rPr>
          <w:rFonts w:eastAsia="Times New Roman" w:cs="Tahoma"/>
          <w:sz w:val="22"/>
          <w:szCs w:val="22"/>
          <w:lang w:eastAsia="es-CO"/>
        </w:rPr>
      </w:pPr>
      <w:r w:rsidRPr="000C5171">
        <w:rPr>
          <w:rFonts w:eastAsia="Times New Roman" w:cs="Tahoma"/>
          <w:sz w:val="22"/>
          <w:szCs w:val="22"/>
          <w:lang w:eastAsia="es-CO"/>
        </w:rPr>
        <w:lastRenderedPageBreak/>
        <w:t>Las Mesas Comunitarias son “espacios de participación integrados por delegado/as de diferentes actores comunitarios, con el objeto de garantizar la participación representativa, efectiva, amplia y pluralista, en el proceso de planeación, ejecución, seguimiento, actualización y evaluación de los PDET y de los PATR, en el respectivo nivel territorial.” (artículo 2, resolución 1204 de 2025)</w:t>
      </w:r>
    </w:p>
    <w:p w14:paraId="2D9E1E94" w14:textId="77777777" w:rsidR="00DE3C06" w:rsidRPr="000C5171" w:rsidRDefault="00DE3C06" w:rsidP="00DE3C06">
      <w:pPr>
        <w:shd w:val="clear" w:color="auto" w:fill="FFFFFF"/>
        <w:spacing w:before="240" w:after="0" w:line="276" w:lineRule="auto"/>
        <w:ind w:left="709"/>
        <w:jc w:val="both"/>
        <w:textAlignment w:val="baseline"/>
        <w:rPr>
          <w:rFonts w:eastAsia="Times New Roman" w:cs="Tahoma"/>
          <w:sz w:val="22"/>
          <w:szCs w:val="22"/>
          <w:lang w:eastAsia="es-CO"/>
        </w:rPr>
      </w:pPr>
      <w:r w:rsidRPr="000C5171">
        <w:rPr>
          <w:rFonts w:eastAsia="Times New Roman" w:cs="Tahoma"/>
          <w:sz w:val="22"/>
          <w:szCs w:val="22"/>
          <w:lang w:eastAsia="es-CO"/>
        </w:rPr>
        <w:t>Las Mesas Comunitarias se han conformado con el objetivo de fortalecer la participación incidente de las comunidades y organizaciones sociales y contribuir con el mejoramiento de los canales de comunicación entre las comunidades e institucionalidad en el marco de la implementación de los PDET y los PATR. Éstas lideran, junto con el MEC subregional, los ejercicios de control social y veeduría ciudadana, en el marco del seguimiento a la implementación del PATR.</w:t>
      </w:r>
    </w:p>
    <w:p w14:paraId="2607CEE3" w14:textId="77777777" w:rsidR="00DE3C06" w:rsidRPr="000C5171" w:rsidRDefault="00DE3C06" w:rsidP="00DE3C06">
      <w:pPr>
        <w:shd w:val="clear" w:color="auto" w:fill="FFFFFF"/>
        <w:spacing w:before="240" w:after="0" w:line="276" w:lineRule="auto"/>
        <w:ind w:left="709"/>
        <w:jc w:val="both"/>
        <w:textAlignment w:val="baseline"/>
        <w:rPr>
          <w:rFonts w:eastAsia="Times New Roman" w:cs="Tahoma"/>
          <w:sz w:val="22"/>
          <w:szCs w:val="22"/>
          <w:lang w:eastAsia="es-CO"/>
        </w:rPr>
      </w:pPr>
      <w:r w:rsidRPr="000C5171">
        <w:rPr>
          <w:rFonts w:cs="Tahoma"/>
          <w:sz w:val="22"/>
          <w:szCs w:val="22"/>
        </w:rPr>
        <w:t xml:space="preserve">En el marco de la Resolución 1204 de </w:t>
      </w:r>
      <w:proofErr w:type="gramStart"/>
      <w:r w:rsidRPr="000C5171">
        <w:rPr>
          <w:rFonts w:cs="Tahoma"/>
          <w:sz w:val="22"/>
          <w:szCs w:val="22"/>
        </w:rPr>
        <w:t>2025 ,</w:t>
      </w:r>
      <w:proofErr w:type="gramEnd"/>
      <w:r w:rsidRPr="000C5171">
        <w:rPr>
          <w:rFonts w:cs="Tahoma"/>
          <w:sz w:val="22"/>
          <w:szCs w:val="22"/>
        </w:rPr>
        <w:t xml:space="preserve"> </w:t>
      </w:r>
      <w:r w:rsidRPr="000C5171">
        <w:rPr>
          <w:rFonts w:eastAsia="Times New Roman" w:cs="Tahoma"/>
          <w:sz w:val="22"/>
          <w:szCs w:val="22"/>
          <w:lang w:eastAsia="es-CO"/>
        </w:rPr>
        <w:t xml:space="preserve">con corte al mes de junio del 2026, la ART </w:t>
      </w:r>
      <w:r w:rsidRPr="000C5171">
        <w:t xml:space="preserve">ha desarrollado </w:t>
      </w:r>
      <w:r w:rsidRPr="000C5171">
        <w:rPr>
          <w:b/>
          <w:bCs/>
        </w:rPr>
        <w:t>97 de los 170 encuentros municipales</w:t>
      </w:r>
      <w:r w:rsidRPr="000C5171">
        <w:t xml:space="preserve"> previstos para la reestructuración de las Mesas Comunitarias Municipales (MCM). </w:t>
      </w:r>
    </w:p>
    <w:p w14:paraId="14989A02" w14:textId="77777777" w:rsidR="00DE3C06" w:rsidRPr="000C5171" w:rsidRDefault="00DE3C06" w:rsidP="00DE3C06">
      <w:pPr>
        <w:shd w:val="clear" w:color="auto" w:fill="FFFFFF"/>
        <w:spacing w:after="0" w:line="276" w:lineRule="auto"/>
        <w:ind w:left="709"/>
        <w:jc w:val="both"/>
        <w:textAlignment w:val="baseline"/>
        <w:rPr>
          <w:rFonts w:eastAsia="Times New Roman" w:cs="Tahoma"/>
          <w:sz w:val="22"/>
          <w:szCs w:val="22"/>
          <w:lang w:eastAsia="es-CO"/>
        </w:rPr>
      </w:pPr>
    </w:p>
    <w:p w14:paraId="3D58F367" w14:textId="77777777" w:rsidR="00DE3C06" w:rsidRPr="000C5171" w:rsidRDefault="00DE3C06" w:rsidP="00DE3C06">
      <w:pPr>
        <w:spacing w:line="276" w:lineRule="auto"/>
        <w:ind w:left="709"/>
        <w:jc w:val="both"/>
        <w:rPr>
          <w:rFonts w:cs="Tahoma"/>
          <w:sz w:val="22"/>
          <w:szCs w:val="22"/>
        </w:rPr>
      </w:pPr>
      <w:r w:rsidRPr="000C5171">
        <w:rPr>
          <w:rFonts w:cs="Tahoma"/>
          <w:sz w:val="22"/>
          <w:szCs w:val="22"/>
        </w:rPr>
        <w:t xml:space="preserve">Para ampliar información de instancias de participación externas nacional, </w:t>
      </w:r>
      <w:r w:rsidRPr="000C5171">
        <w:rPr>
          <w:rFonts w:cs="Tahoma"/>
          <w:b/>
          <w:bCs/>
          <w:sz w:val="22"/>
          <w:szCs w:val="22"/>
        </w:rPr>
        <w:t>específicas para la implementación del PDET se incluye entre otras, ANEXO 26.C</w:t>
      </w:r>
      <w:r w:rsidRPr="000C5171">
        <w:rPr>
          <w:rFonts w:cs="Tahoma"/>
          <w:sz w:val="22"/>
          <w:szCs w:val="22"/>
        </w:rPr>
        <w:t xml:space="preserve"> MESAS COMUNITARIAS</w:t>
      </w:r>
      <w:r w:rsidRPr="000C5171">
        <w:rPr>
          <w:rFonts w:cs="Tahoma"/>
          <w:b/>
          <w:bCs/>
          <w:sz w:val="22"/>
          <w:szCs w:val="22"/>
        </w:rPr>
        <w:t xml:space="preserve"> </w:t>
      </w:r>
      <w:r w:rsidRPr="000C5171">
        <w:rPr>
          <w:rFonts w:cs="Tahoma"/>
          <w:sz w:val="22"/>
          <w:szCs w:val="22"/>
        </w:rPr>
        <w:t xml:space="preserve">que incluye la descripción de participantes y frecuencia de reunión  </w:t>
      </w:r>
    </w:p>
    <w:p w14:paraId="187E847F" w14:textId="77777777" w:rsidR="00DE3C06" w:rsidRPr="000C5171" w:rsidRDefault="00DE3C06">
      <w:pPr>
        <w:pStyle w:val="Prrafodelista"/>
        <w:keepNext/>
        <w:keepLines/>
        <w:numPr>
          <w:ilvl w:val="0"/>
          <w:numId w:val="13"/>
        </w:numPr>
        <w:spacing w:line="276" w:lineRule="auto"/>
        <w:rPr>
          <w:rFonts w:cs="Tahoma"/>
          <w:b/>
          <w:bCs/>
          <w:sz w:val="22"/>
          <w:szCs w:val="22"/>
        </w:rPr>
      </w:pPr>
      <w:r w:rsidRPr="000C5171">
        <w:rPr>
          <w:rFonts w:cs="Tahoma"/>
          <w:b/>
          <w:bCs/>
          <w:sz w:val="22"/>
          <w:szCs w:val="22"/>
        </w:rPr>
        <w:t>MECANISMO ESPECIAL DE CONSULTA (MEC)</w:t>
      </w:r>
    </w:p>
    <w:p w14:paraId="48ADB9F4" w14:textId="77777777" w:rsidR="00DE3C06" w:rsidRPr="000C5171" w:rsidRDefault="00DE3C06" w:rsidP="00DE3C06">
      <w:pPr>
        <w:shd w:val="clear" w:color="auto" w:fill="FFFFFF"/>
        <w:spacing w:after="0" w:line="276" w:lineRule="auto"/>
        <w:ind w:left="709"/>
        <w:jc w:val="both"/>
        <w:textAlignment w:val="baseline"/>
        <w:rPr>
          <w:rFonts w:eastAsia="Times New Roman" w:cs="Tahoma"/>
          <w:sz w:val="22"/>
          <w:szCs w:val="22"/>
          <w:lang w:eastAsia="es-CO"/>
        </w:rPr>
      </w:pPr>
      <w:r w:rsidRPr="000C5171">
        <w:rPr>
          <w:rFonts w:eastAsia="Times New Roman" w:cs="Tahoma"/>
          <w:sz w:val="22"/>
          <w:szCs w:val="22"/>
          <w:lang w:eastAsia="es-CO"/>
        </w:rPr>
        <w:t>Sobre este último punto se indica la información relacionada con los espacios del MEC, teniendo en cuenta que si bien no es una instancia de gobernanza es uno de los mecanismos definidos por la ART para asegurar la participación de los actores territoriales públicos y privados, la sociedad civil, las organizaciones sociales, comunitarias y productivas rurales en la implementación de los PDET, conforme lo establecido en el artículo 1del Decreto 1223 de 2020. </w:t>
      </w:r>
    </w:p>
    <w:p w14:paraId="4BC399DC" w14:textId="77777777" w:rsidR="00DE3C06" w:rsidRPr="000C5171" w:rsidRDefault="00DE3C06" w:rsidP="00DE3C06">
      <w:pPr>
        <w:shd w:val="clear" w:color="auto" w:fill="FFFFFF"/>
        <w:spacing w:before="240" w:after="0" w:line="276" w:lineRule="auto"/>
        <w:ind w:left="709"/>
        <w:jc w:val="both"/>
        <w:textAlignment w:val="baseline"/>
        <w:rPr>
          <w:rFonts w:eastAsia="Times New Roman" w:cs="Tahoma"/>
          <w:sz w:val="22"/>
          <w:szCs w:val="22"/>
          <w:lang w:eastAsia="es-CO"/>
        </w:rPr>
      </w:pPr>
      <w:r w:rsidRPr="000C5171">
        <w:rPr>
          <w:rFonts w:eastAsia="Times New Roman" w:cs="Tahoma"/>
          <w:sz w:val="22"/>
          <w:szCs w:val="22"/>
          <w:lang w:eastAsia="es-CO"/>
        </w:rPr>
        <w:t xml:space="preserve">El MEC, es una garantía de participación para el diseño, la formulación, la ejecución y el seguimiento de los PDET y los PATR, que tiene un límite temporal definido de conformidad con la vigencia de los PDET y una cobertura geográfica restringida a los 170 municipios priorizados en el Decreto Ley 893 de 2017. La composición de esos </w:t>
      </w:r>
      <w:proofErr w:type="gramStart"/>
      <w:r w:rsidRPr="000C5171">
        <w:rPr>
          <w:rFonts w:eastAsia="Times New Roman" w:cs="Tahoma"/>
          <w:sz w:val="22"/>
          <w:szCs w:val="22"/>
          <w:lang w:eastAsia="es-CO"/>
        </w:rPr>
        <w:t>espacios,</w:t>
      </w:r>
      <w:proofErr w:type="gramEnd"/>
      <w:r w:rsidRPr="000C5171">
        <w:rPr>
          <w:rFonts w:eastAsia="Times New Roman" w:cs="Tahoma"/>
          <w:sz w:val="22"/>
          <w:szCs w:val="22"/>
          <w:lang w:eastAsia="es-CO"/>
        </w:rPr>
        <w:t xml:space="preserve"> corresponde a instancias interétnicas, conformadas por las autoridades representativas de los Pueblos Indígenas y las Comunidades Negras, Afrocolombianas, Raizales y Palenqueras, que serán escogidas de manera autónoma de acuerdo con su Ley de origen, derecho propio y derecho mayor. Dicha elección podrá corresponder a un criterio territorial, poblacional o político organizativo, orientado a dar representatividad a todos los Pueblos o Comunidades Étnicas presentes de manera </w:t>
      </w:r>
      <w:r w:rsidRPr="000C5171">
        <w:rPr>
          <w:rFonts w:eastAsia="Times New Roman" w:cs="Tahoma"/>
          <w:sz w:val="22"/>
          <w:szCs w:val="22"/>
          <w:lang w:eastAsia="es-CO"/>
        </w:rPr>
        <w:lastRenderedPageBreak/>
        <w:t>diferencial. Lo anterior, de conformidad con sus usos y costumbres, o el criterio territorial que esté ligado a dar representatividad a los pueblos o comunidades presentes en el territorio de los municipios PDET con presencia étnica.</w:t>
      </w:r>
    </w:p>
    <w:p w14:paraId="29F26D0E" w14:textId="77777777" w:rsidR="00DE3C06" w:rsidRPr="000C5171" w:rsidRDefault="00DE3C06" w:rsidP="00DE3C06">
      <w:pPr>
        <w:spacing w:line="276" w:lineRule="auto"/>
        <w:ind w:left="709"/>
        <w:jc w:val="both"/>
        <w:rPr>
          <w:rFonts w:cs="Tahoma"/>
          <w:sz w:val="22"/>
          <w:szCs w:val="22"/>
        </w:rPr>
      </w:pPr>
    </w:p>
    <w:p w14:paraId="544E8DA6" w14:textId="77777777" w:rsidR="00DE3C06" w:rsidRPr="000C5171" w:rsidRDefault="00DE3C06" w:rsidP="00DE3C06">
      <w:pPr>
        <w:spacing w:line="276" w:lineRule="auto"/>
        <w:ind w:left="709"/>
        <w:jc w:val="both"/>
        <w:rPr>
          <w:rFonts w:cs="Tahoma"/>
          <w:sz w:val="22"/>
          <w:szCs w:val="22"/>
        </w:rPr>
      </w:pPr>
      <w:r w:rsidRPr="000C5171">
        <w:rPr>
          <w:rFonts w:cs="Tahoma"/>
          <w:sz w:val="22"/>
          <w:szCs w:val="22"/>
        </w:rPr>
        <w:t xml:space="preserve">Para ampliar información de instancias de participación externas nacional, </w:t>
      </w:r>
      <w:r w:rsidRPr="000C5171">
        <w:rPr>
          <w:rFonts w:cs="Tahoma"/>
          <w:b/>
          <w:bCs/>
          <w:sz w:val="22"/>
          <w:szCs w:val="22"/>
        </w:rPr>
        <w:t>específicas para la implementación del PDET se incluye ANEXO 26.D</w:t>
      </w:r>
      <w:r w:rsidRPr="000C5171">
        <w:rPr>
          <w:rFonts w:cs="Tahoma"/>
          <w:sz w:val="22"/>
          <w:szCs w:val="22"/>
        </w:rPr>
        <w:t xml:space="preserve"> Mecanismo Especial de Consulta (MEC)</w:t>
      </w:r>
      <w:r w:rsidRPr="000C5171">
        <w:rPr>
          <w:rFonts w:cs="Tahoma"/>
          <w:b/>
          <w:bCs/>
          <w:sz w:val="22"/>
          <w:szCs w:val="22"/>
        </w:rPr>
        <w:t xml:space="preserve"> </w:t>
      </w:r>
      <w:r w:rsidRPr="000C5171">
        <w:rPr>
          <w:rFonts w:cs="Tahoma"/>
          <w:sz w:val="22"/>
          <w:szCs w:val="22"/>
        </w:rPr>
        <w:t>que incluye la descripción de participantes y frecuencia de reunión.</w:t>
      </w:r>
    </w:p>
    <w:p w14:paraId="649CF1CB" w14:textId="77777777" w:rsidR="00DE3C06" w:rsidRPr="000C5171" w:rsidRDefault="00DE3C06" w:rsidP="00DE3C06">
      <w:pPr>
        <w:spacing w:line="276" w:lineRule="auto"/>
        <w:ind w:left="709"/>
        <w:jc w:val="both"/>
        <w:rPr>
          <w:rFonts w:cs="Tahoma"/>
          <w:sz w:val="22"/>
          <w:szCs w:val="22"/>
        </w:rPr>
      </w:pPr>
      <w:r w:rsidRPr="000C5171">
        <w:rPr>
          <w:rFonts w:cs="Tahoma"/>
          <w:sz w:val="22"/>
          <w:szCs w:val="22"/>
        </w:rPr>
        <w:t>A nivel general se informa que, de acuerdo con los Lineamientos Técnico Operativos de cada MEC, estos espacios están integrados por un total de 455 autoridades o delegado/as de autoridades de pueblos y comunidades étnicas: 276 indígenas y 179 negros, afrodescendientes y palenqueros. Respecto a la Periodicidad de reuniones, los MEC se reúnen 2-3 veces por año, según lineamiento técnico operativo de cada subregión Por parte de la ART, se cuenta con la Subdirección de Fortalecimiento Territorial la cual realiza la coordinación de estos espacios.</w:t>
      </w:r>
    </w:p>
    <w:p w14:paraId="73F4E670" w14:textId="77777777" w:rsidR="00DE3C06" w:rsidRPr="000C5171" w:rsidRDefault="00DE3C06" w:rsidP="00DE3C06">
      <w:pPr>
        <w:spacing w:line="276" w:lineRule="auto"/>
        <w:ind w:left="709"/>
        <w:jc w:val="both"/>
        <w:rPr>
          <w:rFonts w:cs="Tahoma"/>
          <w:sz w:val="22"/>
          <w:szCs w:val="22"/>
        </w:rPr>
      </w:pPr>
    </w:p>
    <w:p w14:paraId="153953E5" w14:textId="77777777" w:rsidR="00DE3C06" w:rsidRPr="000C5171" w:rsidRDefault="00DE3C06">
      <w:pPr>
        <w:pStyle w:val="Prrafodelista"/>
        <w:keepNext/>
        <w:keepLines/>
        <w:numPr>
          <w:ilvl w:val="0"/>
          <w:numId w:val="13"/>
        </w:numPr>
        <w:spacing w:line="276" w:lineRule="auto"/>
        <w:jc w:val="both"/>
        <w:rPr>
          <w:rFonts w:cs="Tahoma"/>
          <w:sz w:val="22"/>
          <w:szCs w:val="22"/>
        </w:rPr>
      </w:pPr>
      <w:r w:rsidRPr="000C5171">
        <w:rPr>
          <w:rFonts w:cs="Tahoma"/>
          <w:b/>
          <w:bCs/>
          <w:sz w:val="22"/>
          <w:szCs w:val="22"/>
        </w:rPr>
        <w:t>OTRAS INSTANCIAS DE PARTICIPACIÓN PDET-PATR</w:t>
      </w:r>
      <w:r w:rsidRPr="000C5171">
        <w:rPr>
          <w:rFonts w:cs="Tahoma"/>
          <w:sz w:val="22"/>
          <w:szCs w:val="22"/>
        </w:rPr>
        <w:t xml:space="preserve">: </w:t>
      </w:r>
    </w:p>
    <w:p w14:paraId="53543FBF" w14:textId="77777777" w:rsidR="00DE3C06" w:rsidRPr="000C5171" w:rsidRDefault="00DE3C06" w:rsidP="00DE3C06">
      <w:pPr>
        <w:keepNext/>
        <w:keepLines/>
        <w:spacing w:line="276" w:lineRule="auto"/>
        <w:ind w:left="709"/>
        <w:jc w:val="both"/>
        <w:rPr>
          <w:rFonts w:cs="Tahoma"/>
          <w:sz w:val="22"/>
          <w:szCs w:val="22"/>
        </w:rPr>
      </w:pPr>
      <w:r w:rsidRPr="000C5171">
        <w:rPr>
          <w:rFonts w:cs="Tahoma"/>
          <w:sz w:val="22"/>
          <w:szCs w:val="22"/>
        </w:rPr>
        <w:t xml:space="preserve">Así mismo en el marco del modelo de implementación de los PDET PATR, se cuenta con </w:t>
      </w:r>
      <w:r w:rsidRPr="000C5171">
        <w:rPr>
          <w:rFonts w:cs="Tahoma"/>
          <w:b/>
          <w:bCs/>
          <w:sz w:val="22"/>
          <w:szCs w:val="22"/>
        </w:rPr>
        <w:t>mesas en el marco de la Estrategia Territorio Nación Territorio (ETNT)</w:t>
      </w:r>
      <w:r w:rsidRPr="000C5171">
        <w:rPr>
          <w:rFonts w:cs="Tahoma"/>
          <w:sz w:val="22"/>
          <w:szCs w:val="22"/>
        </w:rPr>
        <w:t xml:space="preserve"> que soportan la operación de los PDET-PATR (ver siguiente numeral 9.2 otras mesas, 9.2.1 Mesas de impulso, mesas bilaterales y mesas interinstitucionales).</w:t>
      </w:r>
    </w:p>
    <w:p w14:paraId="621E6E22" w14:textId="77777777" w:rsidR="00DE3C06" w:rsidRPr="000C5171" w:rsidRDefault="00DE3C06" w:rsidP="00DE3C06">
      <w:pPr>
        <w:pStyle w:val="Ttulo1"/>
        <w:spacing w:line="276" w:lineRule="auto"/>
        <w:rPr>
          <w:rFonts w:cs="Tahoma"/>
          <w:color w:val="0070C0"/>
        </w:rPr>
      </w:pPr>
      <w:bookmarkStart w:id="44" w:name="_Toc234168107"/>
      <w:r w:rsidRPr="000C5171">
        <w:rPr>
          <w:rFonts w:cs="Tahoma"/>
          <w:color w:val="0070C0"/>
        </w:rPr>
        <w:t>9.2 Mesas Técnicas en el marco de convenios y mesas informales.</w:t>
      </w:r>
      <w:bookmarkEnd w:id="44"/>
      <w:r w:rsidRPr="000C5171">
        <w:rPr>
          <w:rFonts w:cs="Tahoma"/>
          <w:color w:val="0070C0"/>
        </w:rPr>
        <w:t xml:space="preserve"> </w:t>
      </w:r>
    </w:p>
    <w:p w14:paraId="4473EFD5" w14:textId="77777777" w:rsidR="00DE3C06" w:rsidRPr="000C5171" w:rsidRDefault="00DE3C06" w:rsidP="00DE3C06">
      <w:pPr>
        <w:spacing w:line="276" w:lineRule="auto"/>
        <w:jc w:val="both"/>
        <w:rPr>
          <w:rFonts w:eastAsia="Times New Roman" w:cs="Tahoma"/>
          <w:sz w:val="22"/>
          <w:szCs w:val="22"/>
          <w:lang w:eastAsia="es-CO"/>
        </w:rPr>
      </w:pPr>
      <w:r w:rsidRPr="000C5171">
        <w:rPr>
          <w:rFonts w:eastAsia="Times New Roman" w:cs="Tahoma"/>
          <w:sz w:val="22"/>
          <w:szCs w:val="22"/>
          <w:lang w:eastAsia="es-CO"/>
        </w:rPr>
        <w:t>A continuación, se relacionan las mesas derivadas de actividades en el marco del modelo de gobernanza para la implementación contempladas en la Estrategia Territorio Nación Territorio de los PDET (9.2) y así mismo se mencionan las mesas técnicas efectuadas en el marco de mesas, Comités, Convenios Marco entre otros:</w:t>
      </w:r>
    </w:p>
    <w:p w14:paraId="2EC4A448" w14:textId="77777777" w:rsidR="00DE3C06" w:rsidRPr="000C5171" w:rsidRDefault="00DE3C06" w:rsidP="00DE3C06">
      <w:pPr>
        <w:keepNext/>
        <w:keepLines/>
        <w:spacing w:line="276" w:lineRule="auto"/>
        <w:jc w:val="both"/>
        <w:rPr>
          <w:rFonts w:cs="Tahoma"/>
          <w:color w:val="0070C0"/>
          <w:sz w:val="22"/>
          <w:szCs w:val="22"/>
        </w:rPr>
      </w:pPr>
      <w:r w:rsidRPr="000C5171">
        <w:rPr>
          <w:rFonts w:cs="Tahoma"/>
          <w:color w:val="0070C0"/>
          <w:sz w:val="22"/>
          <w:szCs w:val="22"/>
        </w:rPr>
        <w:t>9.2.1 Mesas Estrategia Territorio Nación Territorio (ETNT)</w:t>
      </w:r>
    </w:p>
    <w:p w14:paraId="48DF3932" w14:textId="77777777" w:rsidR="00DE3C06" w:rsidRPr="000C5171" w:rsidRDefault="00DE3C06" w:rsidP="00DE3C06">
      <w:pPr>
        <w:spacing w:before="100" w:beforeAutospacing="1" w:after="100" w:afterAutospacing="1" w:line="276" w:lineRule="auto"/>
        <w:jc w:val="both"/>
        <w:rPr>
          <w:rFonts w:eastAsia="Times New Roman" w:cs="Tahoma"/>
          <w:sz w:val="22"/>
          <w:szCs w:val="22"/>
          <w:lang w:eastAsia="es-CO"/>
        </w:rPr>
      </w:pPr>
      <w:r w:rsidRPr="000C5171">
        <w:rPr>
          <w:rFonts w:eastAsia="Times New Roman" w:cs="Tahoma"/>
          <w:sz w:val="22"/>
          <w:szCs w:val="22"/>
          <w:lang w:eastAsia="es-CO"/>
        </w:rPr>
        <w:t xml:space="preserve">En el marco del modelo de gobernanza para la implementación de los PDET y de los PATR, la ART desarrolla la estrategia Territorio–Nación–Territorio como mecanismo operativo de articulación multinivel. Esta estrategia permite conectar prioridades y compromisos territoriales con la oferta institucional del nivel nacional y regional, y ordenar el </w:t>
      </w:r>
      <w:r w:rsidRPr="000C5171">
        <w:rPr>
          <w:rFonts w:eastAsia="Times New Roman" w:cs="Tahoma"/>
          <w:sz w:val="22"/>
          <w:szCs w:val="22"/>
          <w:lang w:eastAsia="es-CO"/>
        </w:rPr>
        <w:lastRenderedPageBreak/>
        <w:t>relacionamiento técnico para resolver cuellos de botella, alinear agendas y concretar compromisos verificables.</w:t>
      </w:r>
    </w:p>
    <w:p w14:paraId="36A2013E" w14:textId="77777777" w:rsidR="00DE3C06" w:rsidRPr="000C5171" w:rsidRDefault="00DE3C06" w:rsidP="00DE3C06">
      <w:pPr>
        <w:spacing w:before="100" w:beforeAutospacing="1" w:after="100" w:afterAutospacing="1" w:line="276" w:lineRule="auto"/>
        <w:jc w:val="both"/>
        <w:rPr>
          <w:rFonts w:cs="Tahoma"/>
          <w:sz w:val="22"/>
          <w:szCs w:val="22"/>
        </w:rPr>
      </w:pPr>
      <w:r w:rsidRPr="000C5171">
        <w:rPr>
          <w:rFonts w:eastAsia="Times New Roman" w:cs="Tahoma"/>
          <w:sz w:val="22"/>
          <w:szCs w:val="22"/>
          <w:lang w:eastAsia="es-CO"/>
        </w:rPr>
        <w:t xml:space="preserve">La estrategia Territorio–Nación–Territorio no constituye una instancia formal creada mediante convenio o acto administrativo. Se implementa como una práctica institucional de coordinación, soportada en las competencias de la ART y en los deberes generales de colaboración armónica y coordinación interinstitucional. En términos operativos, su despliegue se estructura a través de tres espacios principales: mesas de impulso, mesas bilaterales y mesas interinstitucionales, que se activan según el momento de gestión, la complejidad del asunto y la necesidad de concurrencia sectorial. </w:t>
      </w:r>
      <w:r w:rsidRPr="000C5171">
        <w:rPr>
          <w:rFonts w:cs="Tahoma"/>
          <w:sz w:val="22"/>
          <w:szCs w:val="22"/>
        </w:rPr>
        <w:t xml:space="preserve">VER </w:t>
      </w:r>
      <w:r w:rsidRPr="000C5171">
        <w:rPr>
          <w:rFonts w:cs="Tahoma"/>
          <w:b/>
          <w:bCs/>
          <w:sz w:val="22"/>
          <w:szCs w:val="22"/>
        </w:rPr>
        <w:t>ANEXO 27.</w:t>
      </w:r>
      <w:r w:rsidRPr="000C5171">
        <w:rPr>
          <w:rFonts w:cs="Tahoma"/>
          <w:sz w:val="22"/>
          <w:szCs w:val="22"/>
        </w:rPr>
        <w:t xml:space="preserve">  INSTANCIAS PDET Mesas Estrategia Territorio–Nación–Territorio</w:t>
      </w:r>
    </w:p>
    <w:p w14:paraId="00166558" w14:textId="77777777" w:rsidR="00DE3C06" w:rsidRPr="001E37D8" w:rsidRDefault="00DE3C06" w:rsidP="00DE3C06">
      <w:pPr>
        <w:spacing w:before="100" w:beforeAutospacing="1" w:after="100" w:afterAutospacing="1" w:line="276" w:lineRule="auto"/>
        <w:jc w:val="both"/>
        <w:rPr>
          <w:rFonts w:cs="Tahoma"/>
          <w:sz w:val="22"/>
          <w:szCs w:val="22"/>
        </w:rPr>
      </w:pPr>
      <w:r w:rsidRPr="001E37D8">
        <w:rPr>
          <w:rFonts w:cs="Tahoma"/>
          <w:sz w:val="22"/>
          <w:szCs w:val="22"/>
        </w:rPr>
        <w:t xml:space="preserve">Así mismo se incluye </w:t>
      </w:r>
      <w:r w:rsidRPr="001E37D8">
        <w:rPr>
          <w:rFonts w:cs="Tahoma"/>
          <w:b/>
          <w:bCs/>
          <w:sz w:val="22"/>
          <w:szCs w:val="22"/>
        </w:rPr>
        <w:t xml:space="preserve">ANEXO </w:t>
      </w:r>
      <w:proofErr w:type="gramStart"/>
      <w:r w:rsidRPr="001E37D8">
        <w:rPr>
          <w:rFonts w:cs="Tahoma"/>
          <w:b/>
          <w:bCs/>
          <w:sz w:val="22"/>
          <w:szCs w:val="22"/>
        </w:rPr>
        <w:t>27.A</w:t>
      </w:r>
      <w:r w:rsidRPr="001E37D8">
        <w:rPr>
          <w:rFonts w:cs="Tahoma"/>
          <w:sz w:val="22"/>
          <w:szCs w:val="22"/>
        </w:rPr>
        <w:t xml:space="preserve">  Mesas</w:t>
      </w:r>
      <w:proofErr w:type="gramEnd"/>
      <w:r w:rsidRPr="001E37D8">
        <w:rPr>
          <w:rFonts w:cs="Tahoma"/>
          <w:sz w:val="22"/>
          <w:szCs w:val="22"/>
        </w:rPr>
        <w:t xml:space="preserve"> de Impulso, Bilaterales e Interinstitucionales </w:t>
      </w:r>
    </w:p>
    <w:p w14:paraId="763A8ED2" w14:textId="77777777" w:rsidR="00DE3C06" w:rsidRPr="001E37D8" w:rsidRDefault="00DE3C06" w:rsidP="00DE3C06">
      <w:pPr>
        <w:spacing w:line="276" w:lineRule="auto"/>
        <w:jc w:val="both"/>
        <w:rPr>
          <w:rFonts w:cs="Tahoma"/>
          <w:sz w:val="22"/>
          <w:szCs w:val="22"/>
        </w:rPr>
      </w:pPr>
      <w:r w:rsidRPr="001E37D8">
        <w:rPr>
          <w:rFonts w:cs="Tahoma"/>
          <w:sz w:val="22"/>
          <w:szCs w:val="22"/>
        </w:rPr>
        <w:t>Con el propósito de ampliar el contexto respecto a estos espacios se informa que:</w:t>
      </w:r>
    </w:p>
    <w:p w14:paraId="3F8614C9" w14:textId="77777777" w:rsidR="00DE3C06" w:rsidRPr="001E37D8" w:rsidRDefault="00DE3C06" w:rsidP="00DE3C06">
      <w:pPr>
        <w:spacing w:line="276" w:lineRule="auto"/>
        <w:jc w:val="both"/>
        <w:rPr>
          <w:rFonts w:cs="Tahoma"/>
          <w:color w:val="000000" w:themeColor="text1"/>
          <w:sz w:val="22"/>
          <w:szCs w:val="22"/>
        </w:rPr>
      </w:pPr>
      <w:r w:rsidRPr="001E37D8">
        <w:rPr>
          <w:rFonts w:cs="Tahoma"/>
          <w:sz w:val="22"/>
          <w:szCs w:val="22"/>
        </w:rPr>
        <w:t xml:space="preserve">Las Mesas de Impulso se retomaron en el 2024, comenzando con dos experiencias piloto, con las subregiones PDET Sur del Tolima y Montes de María.  Posteriormente, a lo largo del 2025 y con base en los aprendizajes de las dos experiencias piloto iniciales, se adelantó este espacio con la totalidad de las 16 subregiones PDET, más una Mesa de Impulso particular para el municipio de Algeciras, Huila, correspondiente a la subregión PDET Cuenca del Caguán y Piedemonte Caqueteño. Así las cosas, hasta el año 2025 se realizaron 19 Mesas de Impulso. Para el año 2026 se tienen programadas 16 de mesas de impulso, de las cuales ya se han realizado 8 de ellas. </w:t>
      </w:r>
    </w:p>
    <w:p w14:paraId="15D84C4C" w14:textId="77777777" w:rsidR="00DE3C06" w:rsidRPr="001E37D8" w:rsidRDefault="00DE3C06" w:rsidP="00DE3C06">
      <w:pPr>
        <w:spacing w:line="276" w:lineRule="auto"/>
        <w:jc w:val="both"/>
        <w:rPr>
          <w:rFonts w:eastAsia="Arial" w:cs="Tahoma"/>
          <w:sz w:val="22"/>
          <w:szCs w:val="22"/>
        </w:rPr>
      </w:pPr>
      <w:r w:rsidRPr="001E37D8">
        <w:rPr>
          <w:rFonts w:eastAsia="Arial" w:cs="Tahoma"/>
          <w:sz w:val="22"/>
          <w:szCs w:val="22"/>
        </w:rPr>
        <w:t>El cronograma para la realización de las Mesas de Impulso se ha adelantado en función del avance del proceso de actualización de los PATR. Cada Mesa se llevó a cabo tras la implementación de estos en cada una de las subregiones mencionadas.</w:t>
      </w:r>
    </w:p>
    <w:p w14:paraId="25F3BAF4" w14:textId="77777777" w:rsidR="00DE3C06" w:rsidRPr="001E37D8" w:rsidRDefault="00DE3C06" w:rsidP="00DE3C06">
      <w:pPr>
        <w:spacing w:line="276" w:lineRule="auto"/>
        <w:jc w:val="both"/>
        <w:rPr>
          <w:rFonts w:eastAsia="Arial" w:cs="Tahoma"/>
          <w:sz w:val="22"/>
          <w:szCs w:val="22"/>
        </w:rPr>
      </w:pPr>
      <w:r w:rsidRPr="001E37D8">
        <w:rPr>
          <w:rFonts w:eastAsia="Arial" w:cs="Tahoma"/>
          <w:sz w:val="22"/>
          <w:szCs w:val="22"/>
        </w:rPr>
        <w:t>Adicionalmente, durante 2025 se realizaron 3 mesas intersectoriales, y para este año se prevé el desarrollo de 4 mesas, lo que implica la coordinación y articulación entre diferentes sectores de la administración pública. El objetivo es abordar temas específicos e integrales que se conecten o deban conectarse en función de la implementación de los PATR revisados y actualizados. Entre otros temas, se tratarán el Plan Plurianual de Inversiones del gobierno entrante y los Planes Nacionales Sectoriales.</w:t>
      </w:r>
    </w:p>
    <w:p w14:paraId="1257F717" w14:textId="77777777" w:rsidR="00DE3C06" w:rsidRPr="001E37D8" w:rsidRDefault="00DE3C06" w:rsidP="00DE3C06">
      <w:pPr>
        <w:spacing w:line="276" w:lineRule="auto"/>
        <w:jc w:val="both"/>
        <w:rPr>
          <w:rFonts w:eastAsia="Arial" w:cs="Tahoma"/>
          <w:sz w:val="22"/>
          <w:szCs w:val="22"/>
        </w:rPr>
      </w:pPr>
      <w:r w:rsidRPr="001E37D8">
        <w:rPr>
          <w:rFonts w:eastAsia="Arial" w:cs="Tahoma"/>
          <w:sz w:val="22"/>
          <w:szCs w:val="22"/>
        </w:rPr>
        <w:t xml:space="preserve">El logro de estos espacios se basa en orientar el diálogo hacia una convergencia de rutas de trabajo, alineadas con la meta común de lograr la complementariedad, al proponerles a los gobiernos territoriales una conversación clara y estratégica sobre cómo lograr la complementariedad nacional, partiendo de sus capacidades, prioridades y visión de desarrollo. Se anexa la relación de las mesas. </w:t>
      </w:r>
    </w:p>
    <w:p w14:paraId="53AED5AB" w14:textId="77777777" w:rsidR="00DE3C06" w:rsidRPr="001E37D8" w:rsidRDefault="00DE3C06">
      <w:pPr>
        <w:pStyle w:val="Prrafodelista"/>
        <w:keepNext/>
        <w:keepLines/>
        <w:numPr>
          <w:ilvl w:val="2"/>
          <w:numId w:val="34"/>
        </w:numPr>
        <w:spacing w:line="276" w:lineRule="auto"/>
        <w:ind w:left="709"/>
        <w:jc w:val="both"/>
        <w:rPr>
          <w:rFonts w:cs="Tahoma"/>
          <w:color w:val="3A7C22" w:themeColor="accent6" w:themeShade="BF"/>
          <w:sz w:val="22"/>
          <w:szCs w:val="22"/>
        </w:rPr>
      </w:pPr>
      <w:r w:rsidRPr="001E37D8">
        <w:rPr>
          <w:rFonts w:cs="Tahoma"/>
          <w:color w:val="0070C0"/>
          <w:sz w:val="22"/>
          <w:szCs w:val="22"/>
        </w:rPr>
        <w:lastRenderedPageBreak/>
        <w:t>Mesas Convenios Marco</w:t>
      </w:r>
    </w:p>
    <w:p w14:paraId="7547D051" w14:textId="77777777" w:rsidR="00DE3C06" w:rsidRPr="001E37D8" w:rsidRDefault="00DE3C06" w:rsidP="00DE3C06">
      <w:pPr>
        <w:spacing w:line="276" w:lineRule="auto"/>
        <w:jc w:val="both"/>
        <w:rPr>
          <w:rFonts w:cs="Tahoma"/>
          <w:b/>
          <w:bCs/>
          <w:sz w:val="22"/>
          <w:szCs w:val="22"/>
        </w:rPr>
      </w:pPr>
      <w:r w:rsidRPr="001E37D8">
        <w:rPr>
          <w:rFonts w:cs="Tahoma"/>
          <w:sz w:val="22"/>
          <w:szCs w:val="22"/>
        </w:rPr>
        <w:t xml:space="preserve">A continuación, se mencionan los espacios identificados, sin embargo, para ampliar información respecto a la reglamentación y delegación frente a cada uno se INCLUYE </w:t>
      </w:r>
      <w:r w:rsidRPr="001E37D8">
        <w:rPr>
          <w:rFonts w:cs="Tahoma"/>
          <w:b/>
          <w:bCs/>
          <w:sz w:val="22"/>
          <w:szCs w:val="22"/>
        </w:rPr>
        <w:t>ANEXO 27.B</w:t>
      </w:r>
      <w:r w:rsidRPr="001E37D8">
        <w:rPr>
          <w:rFonts w:cs="Tahoma"/>
          <w:sz w:val="22"/>
          <w:szCs w:val="22"/>
        </w:rPr>
        <w:t xml:space="preserve"> COMITÉS</w:t>
      </w:r>
      <w:r w:rsidRPr="001E37D8">
        <w:rPr>
          <w:rFonts w:cs="Tahoma"/>
          <w:b/>
          <w:bCs/>
          <w:sz w:val="22"/>
          <w:szCs w:val="22"/>
        </w:rPr>
        <w:t xml:space="preserve"> CONVENIOS </w:t>
      </w:r>
      <w:proofErr w:type="gramStart"/>
      <w:r w:rsidRPr="001E37D8">
        <w:rPr>
          <w:rFonts w:cs="Tahoma"/>
          <w:b/>
          <w:bCs/>
          <w:sz w:val="22"/>
          <w:szCs w:val="22"/>
        </w:rPr>
        <w:t>MARCO,  Se</w:t>
      </w:r>
      <w:proofErr w:type="gramEnd"/>
      <w:r w:rsidRPr="001E37D8">
        <w:rPr>
          <w:rFonts w:cs="Tahoma"/>
          <w:b/>
          <w:bCs/>
          <w:sz w:val="22"/>
          <w:szCs w:val="22"/>
        </w:rPr>
        <w:t xml:space="preserve"> informa sobre los siguientes comités:</w:t>
      </w:r>
    </w:p>
    <w:p w14:paraId="5F0FB367" w14:textId="77777777" w:rsidR="00DE3C06" w:rsidRPr="001E37D8" w:rsidRDefault="00DE3C06">
      <w:pPr>
        <w:pStyle w:val="Prrafodelista"/>
        <w:numPr>
          <w:ilvl w:val="0"/>
          <w:numId w:val="35"/>
        </w:numPr>
        <w:spacing w:line="276" w:lineRule="auto"/>
        <w:jc w:val="both"/>
        <w:rPr>
          <w:rFonts w:cs="Tahoma"/>
          <w:b/>
          <w:bCs/>
          <w:sz w:val="22"/>
          <w:szCs w:val="22"/>
        </w:rPr>
      </w:pPr>
      <w:r w:rsidRPr="001E37D8">
        <w:rPr>
          <w:rFonts w:cs="Tahoma"/>
          <w:sz w:val="22"/>
          <w:szCs w:val="22"/>
        </w:rPr>
        <w:t>Comité de Seguimiento del Programa KFW. (Reglamento del Comité de Seguimiento -Programa Piloto de Inversiones Prioritarias en municipios PDET-KFW).</w:t>
      </w:r>
    </w:p>
    <w:p w14:paraId="7862598C" w14:textId="77777777" w:rsidR="00DE3C06" w:rsidRPr="001E37D8" w:rsidRDefault="00DE3C06">
      <w:pPr>
        <w:pStyle w:val="Prrafodelista"/>
        <w:keepNext/>
        <w:keepLines/>
        <w:numPr>
          <w:ilvl w:val="0"/>
          <w:numId w:val="35"/>
        </w:numPr>
        <w:spacing w:line="276" w:lineRule="auto"/>
        <w:jc w:val="both"/>
        <w:rPr>
          <w:rFonts w:cs="Tahoma"/>
          <w:sz w:val="22"/>
          <w:szCs w:val="22"/>
        </w:rPr>
      </w:pPr>
      <w:r w:rsidRPr="001E37D8">
        <w:rPr>
          <w:rFonts w:cs="Tahoma"/>
          <w:sz w:val="22"/>
          <w:szCs w:val="22"/>
        </w:rPr>
        <w:t xml:space="preserve">Comité de Gestión y Comité Integral (Manual Técnico - procedimiento administrativo, Convenio FCP 735-2022 - </w:t>
      </w:r>
      <w:proofErr w:type="spellStart"/>
      <w:r w:rsidRPr="001E37D8">
        <w:rPr>
          <w:rFonts w:cs="Tahoma"/>
          <w:sz w:val="22"/>
          <w:szCs w:val="22"/>
        </w:rPr>
        <w:t>Fp</w:t>
      </w:r>
      <w:proofErr w:type="spellEnd"/>
      <w:r w:rsidRPr="001E37D8">
        <w:rPr>
          <w:rFonts w:cs="Tahoma"/>
          <w:sz w:val="22"/>
          <w:szCs w:val="22"/>
        </w:rPr>
        <w:t xml:space="preserve"> 347/2022 Complejo de Educación Superior del Catatumbo).</w:t>
      </w:r>
    </w:p>
    <w:p w14:paraId="7012359C" w14:textId="77777777" w:rsidR="00DE3C06" w:rsidRPr="001E37D8" w:rsidRDefault="00DE3C06">
      <w:pPr>
        <w:pStyle w:val="Prrafodelista"/>
        <w:keepNext/>
        <w:keepLines/>
        <w:numPr>
          <w:ilvl w:val="0"/>
          <w:numId w:val="35"/>
        </w:numPr>
        <w:spacing w:line="276" w:lineRule="auto"/>
        <w:jc w:val="both"/>
        <w:rPr>
          <w:rFonts w:cs="Tahoma"/>
          <w:sz w:val="22"/>
          <w:szCs w:val="22"/>
        </w:rPr>
      </w:pPr>
      <w:r w:rsidRPr="001E37D8">
        <w:rPr>
          <w:rFonts w:cs="Tahoma"/>
          <w:sz w:val="22"/>
          <w:szCs w:val="22"/>
        </w:rPr>
        <w:t>Comité de Gestión (Manual Técnico - procedimiento administrativo, Convenio FCP 736-2022 FCP-736-2022 FPAZ-FP346-2022, Proyectos financiados por Fondo Paz).</w:t>
      </w:r>
    </w:p>
    <w:p w14:paraId="059F954A" w14:textId="77777777" w:rsidR="00DE3C06" w:rsidRPr="001E37D8" w:rsidRDefault="00DE3C06">
      <w:pPr>
        <w:pStyle w:val="Prrafodelista"/>
        <w:keepNext/>
        <w:keepLines/>
        <w:numPr>
          <w:ilvl w:val="0"/>
          <w:numId w:val="35"/>
        </w:numPr>
        <w:spacing w:line="276" w:lineRule="auto"/>
        <w:jc w:val="both"/>
        <w:rPr>
          <w:rFonts w:cs="Tahoma"/>
          <w:sz w:val="22"/>
          <w:szCs w:val="22"/>
        </w:rPr>
      </w:pPr>
      <w:r w:rsidRPr="001E37D8">
        <w:rPr>
          <w:rFonts w:cs="Tahoma"/>
          <w:sz w:val="22"/>
          <w:szCs w:val="22"/>
        </w:rPr>
        <w:t>Comité Fiduciario (Contrato Interadministrativo No. SG 0186 de 2023 suscrito entre MINTIC y ART; esquema de ejecución mediante patrimonio autónomo, fiducia mercantil).</w:t>
      </w:r>
    </w:p>
    <w:p w14:paraId="562EF5D9" w14:textId="77777777" w:rsidR="00DE3C06" w:rsidRPr="001E37D8" w:rsidRDefault="00DE3C06">
      <w:pPr>
        <w:pStyle w:val="Prrafodelista"/>
        <w:keepNext/>
        <w:keepLines/>
        <w:numPr>
          <w:ilvl w:val="0"/>
          <w:numId w:val="35"/>
        </w:numPr>
        <w:spacing w:line="276" w:lineRule="auto"/>
        <w:jc w:val="both"/>
        <w:rPr>
          <w:rFonts w:cs="Tahoma"/>
          <w:sz w:val="22"/>
          <w:szCs w:val="22"/>
        </w:rPr>
      </w:pPr>
      <w:r w:rsidRPr="001E37D8">
        <w:rPr>
          <w:rFonts w:cs="Tahoma"/>
          <w:sz w:val="22"/>
          <w:szCs w:val="22"/>
        </w:rPr>
        <w:t xml:space="preserve">Los Comités Operativos y Fiduciario de contrato ART- MINTIC y que ejecuta FINDETER. </w:t>
      </w:r>
    </w:p>
    <w:p w14:paraId="629A67FC" w14:textId="77777777" w:rsidR="00DE3C06" w:rsidRPr="001E37D8" w:rsidRDefault="00DE3C06">
      <w:pPr>
        <w:pStyle w:val="Prrafodelista"/>
        <w:keepNext/>
        <w:keepLines/>
        <w:numPr>
          <w:ilvl w:val="0"/>
          <w:numId w:val="35"/>
        </w:numPr>
        <w:spacing w:line="276" w:lineRule="auto"/>
        <w:jc w:val="both"/>
        <w:rPr>
          <w:rFonts w:cs="Tahoma"/>
          <w:sz w:val="22"/>
          <w:szCs w:val="22"/>
        </w:rPr>
      </w:pPr>
      <w:r w:rsidRPr="001E37D8">
        <w:rPr>
          <w:rFonts w:cs="Tahoma"/>
          <w:sz w:val="22"/>
          <w:szCs w:val="22"/>
        </w:rPr>
        <w:t xml:space="preserve">Comité Gestor del Programa (Reglamento Operativo del Programa </w:t>
      </w:r>
      <w:r w:rsidRPr="001E37D8">
        <w:rPr>
          <w:rFonts w:cs="Arial"/>
          <w:color w:val="13501B"/>
          <w:sz w:val="22"/>
          <w:szCs w:val="22"/>
          <w:lang w:val="es"/>
        </w:rPr>
        <w:t>AECID</w:t>
      </w:r>
      <w:r w:rsidRPr="001E37D8">
        <w:rPr>
          <w:rFonts w:cs="Tahoma"/>
          <w:sz w:val="22"/>
          <w:szCs w:val="22"/>
        </w:rPr>
        <w:t>).</w:t>
      </w:r>
    </w:p>
    <w:p w14:paraId="58942CCD" w14:textId="77777777" w:rsidR="00DE3C06" w:rsidRPr="001E37D8" w:rsidRDefault="00DE3C06">
      <w:pPr>
        <w:pStyle w:val="Prrafodelista"/>
        <w:keepNext/>
        <w:keepLines/>
        <w:numPr>
          <w:ilvl w:val="0"/>
          <w:numId w:val="35"/>
        </w:numPr>
        <w:spacing w:line="276" w:lineRule="auto"/>
        <w:jc w:val="both"/>
        <w:rPr>
          <w:rFonts w:cs="Tahoma"/>
          <w:sz w:val="22"/>
          <w:szCs w:val="22"/>
        </w:rPr>
      </w:pPr>
      <w:r w:rsidRPr="001E37D8">
        <w:rPr>
          <w:rFonts w:cs="Tahoma"/>
          <w:sz w:val="22"/>
          <w:szCs w:val="22"/>
        </w:rPr>
        <w:t>Comité Estratégico (Proyecto “Sosteniendo la Paz”, financiado por la Agencia de Cooperación Internacional de Corea (KOICA).</w:t>
      </w:r>
    </w:p>
    <w:p w14:paraId="478790C9" w14:textId="77777777" w:rsidR="00DE3C06" w:rsidRPr="001E37D8" w:rsidRDefault="00DE3C06" w:rsidP="00DE3C06">
      <w:pPr>
        <w:rPr>
          <w:sz w:val="22"/>
          <w:szCs w:val="22"/>
        </w:rPr>
      </w:pPr>
      <w:r w:rsidRPr="001E37D8">
        <w:rPr>
          <w:b/>
          <w:bCs/>
          <w:sz w:val="22"/>
          <w:szCs w:val="22"/>
        </w:rPr>
        <w:t xml:space="preserve">Anexo 27.C </w:t>
      </w:r>
      <w:r w:rsidRPr="001E37D8">
        <w:rPr>
          <w:sz w:val="22"/>
          <w:szCs w:val="22"/>
        </w:rPr>
        <w:t xml:space="preserve">Otras mesas: Comités Operativos Proyectos </w:t>
      </w:r>
    </w:p>
    <w:p w14:paraId="36CA4078" w14:textId="77777777" w:rsidR="00DE3C06" w:rsidRPr="001E37D8" w:rsidRDefault="00DE3C06">
      <w:pPr>
        <w:pStyle w:val="Prrafodelista"/>
        <w:numPr>
          <w:ilvl w:val="0"/>
          <w:numId w:val="36"/>
        </w:numPr>
        <w:ind w:left="567"/>
        <w:rPr>
          <w:sz w:val="22"/>
          <w:szCs w:val="22"/>
        </w:rPr>
      </w:pPr>
      <w:r w:rsidRPr="001E37D8">
        <w:rPr>
          <w:sz w:val="22"/>
          <w:szCs w:val="22"/>
        </w:rPr>
        <w:t>Comité Operativo- Proyecto sosteniendo la paz Récord de discusiones</w:t>
      </w:r>
    </w:p>
    <w:p w14:paraId="08180015" w14:textId="77777777" w:rsidR="00DE3C06" w:rsidRPr="001E37D8" w:rsidRDefault="00DE3C06">
      <w:pPr>
        <w:pStyle w:val="Prrafodelista"/>
        <w:numPr>
          <w:ilvl w:val="0"/>
          <w:numId w:val="36"/>
        </w:numPr>
        <w:ind w:left="567"/>
        <w:rPr>
          <w:sz w:val="22"/>
          <w:szCs w:val="22"/>
        </w:rPr>
      </w:pPr>
      <w:r w:rsidRPr="001E37D8">
        <w:rPr>
          <w:sz w:val="22"/>
          <w:szCs w:val="22"/>
        </w:rPr>
        <w:t xml:space="preserve">Comité Directivo proyecto Fondo </w:t>
      </w:r>
      <w:proofErr w:type="spellStart"/>
      <w:r w:rsidRPr="001E37D8">
        <w:rPr>
          <w:sz w:val="22"/>
          <w:szCs w:val="22"/>
        </w:rPr>
        <w:t>Multidonante</w:t>
      </w:r>
      <w:proofErr w:type="spellEnd"/>
      <w:r w:rsidRPr="001E37D8">
        <w:rPr>
          <w:sz w:val="22"/>
          <w:szCs w:val="22"/>
        </w:rPr>
        <w:t xml:space="preserve"> para la Paz: Proyectos integradores para acelerar la implementación el PATR del Alto Patía y Norte del Cauca: promoviendo la Transformación del territorio, la construcción de paz, el desarrollo sostenible y el cierre de brechas socioeconómicas. (</w:t>
      </w:r>
      <w:proofErr w:type="spellStart"/>
      <w:r w:rsidRPr="001E37D8">
        <w:rPr>
          <w:sz w:val="22"/>
          <w:szCs w:val="22"/>
        </w:rPr>
        <w:t>Prodoc</w:t>
      </w:r>
      <w:proofErr w:type="spellEnd"/>
      <w:r w:rsidRPr="001E37D8">
        <w:rPr>
          <w:sz w:val="22"/>
          <w:szCs w:val="22"/>
        </w:rPr>
        <w:t xml:space="preserve"> y brindará lineamientos para el desarrollo de las actividades propuestas, realizará el monitoreo conforme al plan de trabajo y definirá acciones de mejora para garantizar los resultados propuestos).</w:t>
      </w:r>
      <w:r w:rsidRPr="001E37D8">
        <w:rPr>
          <w:sz w:val="22"/>
          <w:szCs w:val="22"/>
        </w:rPr>
        <w:tab/>
      </w:r>
    </w:p>
    <w:p w14:paraId="1BC7D9DB" w14:textId="77777777" w:rsidR="00DE3C06" w:rsidRPr="001E37D8" w:rsidRDefault="00DE3C06" w:rsidP="00DE3C06">
      <w:pPr>
        <w:pStyle w:val="Prrafodelista"/>
        <w:keepNext/>
        <w:keepLines/>
        <w:spacing w:line="276" w:lineRule="auto"/>
        <w:ind w:left="567"/>
        <w:jc w:val="both"/>
        <w:rPr>
          <w:rFonts w:cs="Tahoma"/>
          <w:sz w:val="22"/>
          <w:szCs w:val="22"/>
          <w:u w:val="single"/>
        </w:rPr>
      </w:pPr>
      <w:r w:rsidRPr="001E37D8">
        <w:rPr>
          <w:rFonts w:cs="Tahoma"/>
          <w:sz w:val="22"/>
          <w:szCs w:val="22"/>
        </w:rPr>
        <w:t xml:space="preserve">Delegados y Frecuencia: Representantes o delegados de ART, MPTF (la Secretaría Técnica del Fondo), PNUD y UNFPA, el cual se </w:t>
      </w:r>
      <w:r w:rsidRPr="001E37D8">
        <w:rPr>
          <w:rFonts w:cs="Tahoma"/>
          <w:sz w:val="22"/>
          <w:szCs w:val="22"/>
          <w:u w:val="single"/>
        </w:rPr>
        <w:t>reunirá semestralmente</w:t>
      </w:r>
    </w:p>
    <w:p w14:paraId="5CFD7130" w14:textId="77777777" w:rsidR="00DE3C06" w:rsidRPr="001E37D8" w:rsidRDefault="00DE3C06">
      <w:pPr>
        <w:pStyle w:val="Prrafodelista"/>
        <w:keepNext/>
        <w:keepLines/>
        <w:numPr>
          <w:ilvl w:val="0"/>
          <w:numId w:val="30"/>
        </w:numPr>
        <w:spacing w:line="276" w:lineRule="auto"/>
        <w:ind w:left="567" w:hanging="425"/>
        <w:jc w:val="both"/>
        <w:rPr>
          <w:rFonts w:cs="Tahoma"/>
          <w:sz w:val="22"/>
          <w:szCs w:val="22"/>
        </w:rPr>
      </w:pPr>
      <w:r w:rsidRPr="001E37D8">
        <w:rPr>
          <w:rFonts w:cs="Tahoma"/>
          <w:sz w:val="22"/>
          <w:szCs w:val="22"/>
        </w:rPr>
        <w:t xml:space="preserve">Comité Técnico nacional proyecto Fondo </w:t>
      </w:r>
      <w:proofErr w:type="spellStart"/>
      <w:r w:rsidRPr="001E37D8">
        <w:rPr>
          <w:rFonts w:cs="Tahoma"/>
          <w:sz w:val="22"/>
          <w:szCs w:val="22"/>
        </w:rPr>
        <w:t>Multidonante</w:t>
      </w:r>
      <w:proofErr w:type="spellEnd"/>
      <w:r w:rsidRPr="001E37D8">
        <w:rPr>
          <w:rFonts w:cs="Tahoma"/>
          <w:sz w:val="22"/>
          <w:szCs w:val="22"/>
        </w:rPr>
        <w:t xml:space="preserve"> para la Paz: Proyectos integradores para acelerar la implementación el PATR del Alto Patía y Norte del Cauca: promoviendo la transformación del territorio, la construcción de paz, el desarrollo sostenible y el cierre de brechas socioeconómicas (</w:t>
      </w:r>
      <w:proofErr w:type="spellStart"/>
      <w:r w:rsidRPr="001E37D8">
        <w:rPr>
          <w:rFonts w:cs="Tahoma"/>
          <w:sz w:val="22"/>
          <w:szCs w:val="22"/>
        </w:rPr>
        <w:t>Prodoc</w:t>
      </w:r>
      <w:proofErr w:type="spellEnd"/>
      <w:r w:rsidRPr="001E37D8">
        <w:rPr>
          <w:rFonts w:cs="Tahoma"/>
          <w:sz w:val="22"/>
          <w:szCs w:val="22"/>
        </w:rPr>
        <w:t xml:space="preserve">) </w:t>
      </w:r>
    </w:p>
    <w:p w14:paraId="01EC14FC" w14:textId="77777777" w:rsidR="00DE3C06" w:rsidRPr="001E37D8" w:rsidRDefault="00DE3C06" w:rsidP="00DE3C06">
      <w:pPr>
        <w:pStyle w:val="Prrafodelista"/>
        <w:keepNext/>
        <w:keepLines/>
        <w:spacing w:line="276" w:lineRule="auto"/>
        <w:ind w:left="567"/>
        <w:jc w:val="both"/>
        <w:rPr>
          <w:rFonts w:cs="Tahoma"/>
          <w:sz w:val="22"/>
          <w:szCs w:val="22"/>
        </w:rPr>
      </w:pPr>
      <w:r w:rsidRPr="001E37D8">
        <w:rPr>
          <w:rFonts w:cs="Tahoma"/>
          <w:sz w:val="22"/>
          <w:szCs w:val="22"/>
        </w:rPr>
        <w:t xml:space="preserve">Delegados y Frecuencia: ART, PNUD y UNFPA. </w:t>
      </w:r>
      <w:r w:rsidRPr="001E37D8">
        <w:rPr>
          <w:rFonts w:cs="Tahoma"/>
          <w:sz w:val="22"/>
          <w:szCs w:val="22"/>
          <w:u w:val="single"/>
        </w:rPr>
        <w:t>Se reúne cada dos meses</w:t>
      </w:r>
    </w:p>
    <w:p w14:paraId="58EDB327" w14:textId="77777777" w:rsidR="00DE3C06" w:rsidRPr="001E37D8" w:rsidRDefault="00DE3C06" w:rsidP="00DE3C06">
      <w:pPr>
        <w:pStyle w:val="Prrafodelista"/>
        <w:keepNext/>
        <w:keepLines/>
        <w:spacing w:line="276" w:lineRule="auto"/>
        <w:ind w:left="567"/>
        <w:jc w:val="both"/>
        <w:rPr>
          <w:rFonts w:cs="Tahoma"/>
          <w:sz w:val="22"/>
          <w:szCs w:val="22"/>
        </w:rPr>
      </w:pPr>
      <w:r w:rsidRPr="001E37D8">
        <w:rPr>
          <w:rFonts w:cs="Tahoma"/>
          <w:sz w:val="22"/>
          <w:szCs w:val="22"/>
        </w:rPr>
        <w:t xml:space="preserve">Se incluye el </w:t>
      </w:r>
      <w:r w:rsidRPr="001E37D8">
        <w:rPr>
          <w:rFonts w:cs="Tahoma"/>
          <w:b/>
          <w:bCs/>
          <w:sz w:val="22"/>
          <w:szCs w:val="22"/>
        </w:rPr>
        <w:t>ANEXO 27.C</w:t>
      </w:r>
      <w:r w:rsidRPr="001E37D8">
        <w:rPr>
          <w:rFonts w:cs="Tahoma"/>
          <w:sz w:val="22"/>
          <w:szCs w:val="22"/>
        </w:rPr>
        <w:t xml:space="preserve"> con información ampliada por comité</w:t>
      </w:r>
    </w:p>
    <w:p w14:paraId="31FED46F" w14:textId="77777777" w:rsidR="00DE3C06" w:rsidRPr="001E37D8" w:rsidRDefault="00DE3C06" w:rsidP="00DE3C06">
      <w:pPr>
        <w:spacing w:line="276" w:lineRule="auto"/>
        <w:jc w:val="both"/>
        <w:rPr>
          <w:rFonts w:eastAsia="Arial" w:cs="Tahoma"/>
          <w:b/>
          <w:bCs/>
          <w:color w:val="0A0A0A"/>
          <w:sz w:val="22"/>
          <w:szCs w:val="22"/>
        </w:rPr>
      </w:pPr>
      <w:r w:rsidRPr="001E37D8">
        <w:rPr>
          <w:rFonts w:cs="Tahoma"/>
          <w:b/>
          <w:bCs/>
          <w:sz w:val="22"/>
          <w:szCs w:val="22"/>
        </w:rPr>
        <w:t xml:space="preserve">ANEXO 27.D </w:t>
      </w:r>
      <w:r w:rsidRPr="001E37D8">
        <w:rPr>
          <w:rFonts w:eastAsiaTheme="minorEastAsia" w:cs="Tahoma"/>
          <w:color w:val="0A0A0A"/>
          <w:sz w:val="22"/>
          <w:szCs w:val="22"/>
        </w:rPr>
        <w:t>Otros espacios externos:</w:t>
      </w:r>
    </w:p>
    <w:p w14:paraId="18287B12" w14:textId="77777777" w:rsidR="00DE3C06" w:rsidRPr="001E37D8" w:rsidRDefault="00DE3C06">
      <w:pPr>
        <w:pStyle w:val="Prrafodelista"/>
        <w:numPr>
          <w:ilvl w:val="0"/>
          <w:numId w:val="29"/>
        </w:numPr>
        <w:spacing w:line="276" w:lineRule="auto"/>
        <w:ind w:left="567"/>
        <w:jc w:val="both"/>
        <w:rPr>
          <w:rFonts w:eastAsiaTheme="minorEastAsia" w:cs="Tahoma"/>
          <w:color w:val="0A0A0A"/>
          <w:sz w:val="22"/>
          <w:szCs w:val="22"/>
        </w:rPr>
      </w:pPr>
      <w:r w:rsidRPr="001E37D8">
        <w:rPr>
          <w:rFonts w:eastAsiaTheme="minorEastAsia" w:cs="Tahoma"/>
          <w:b/>
          <w:bCs/>
          <w:color w:val="0A0A0A"/>
          <w:sz w:val="22"/>
          <w:szCs w:val="22"/>
        </w:rPr>
        <w:lastRenderedPageBreak/>
        <w:t xml:space="preserve">Comité Técnico del Fondo Colombia en Paz (FCP): </w:t>
      </w:r>
      <w:r w:rsidRPr="001E37D8">
        <w:rPr>
          <w:rFonts w:eastAsiaTheme="minorEastAsia" w:cs="Tahoma"/>
          <w:color w:val="0A0A0A"/>
          <w:sz w:val="22"/>
          <w:szCs w:val="22"/>
        </w:rPr>
        <w:t xml:space="preserve">Es el órgano encargado de validar y verificar los requisitos para la contratación de sus diversas subcuentas. La Agencia para la Renovación del Territorio (ART) asiste como invitada y participa en los Comités Técnicos citados. </w:t>
      </w:r>
    </w:p>
    <w:p w14:paraId="640625B9" w14:textId="77777777" w:rsidR="00DE3C06" w:rsidRPr="001E37D8" w:rsidRDefault="00DE3C06" w:rsidP="00DE3C06">
      <w:pPr>
        <w:pStyle w:val="Prrafodelista"/>
        <w:spacing w:line="276" w:lineRule="auto"/>
        <w:ind w:left="567"/>
        <w:jc w:val="both"/>
        <w:rPr>
          <w:rFonts w:eastAsiaTheme="minorEastAsia" w:cs="Tahoma"/>
          <w:color w:val="0A0A0A"/>
          <w:sz w:val="22"/>
          <w:szCs w:val="22"/>
        </w:rPr>
      </w:pPr>
      <w:r w:rsidRPr="001E37D8">
        <w:rPr>
          <w:rFonts w:cs="Tahoma"/>
          <w:b/>
          <w:bCs/>
          <w:sz w:val="22"/>
          <w:szCs w:val="22"/>
        </w:rPr>
        <w:t xml:space="preserve">Comité Fiduciario del Fondo Colombia en Paz (FCP): </w:t>
      </w:r>
      <w:r w:rsidRPr="001E37D8">
        <w:rPr>
          <w:rFonts w:eastAsiaTheme="minorEastAsia" w:cs="Tahoma"/>
          <w:color w:val="0A0A0A"/>
          <w:sz w:val="22"/>
          <w:szCs w:val="22"/>
        </w:rPr>
        <w:t>Es el órgano encargado de aprobar la contratación de los proyectos presentados por las distintas subcuentas. La ART asiste como invitada para sustentar los proyectos que previamente validados por el comité técnico se someten a consideración del fiduciario.</w:t>
      </w:r>
    </w:p>
    <w:p w14:paraId="5AE20F49" w14:textId="77777777" w:rsidR="00DE3C06" w:rsidRPr="001E37D8" w:rsidRDefault="00DE3C06" w:rsidP="00DE3C06">
      <w:pPr>
        <w:pStyle w:val="Prrafodelista"/>
        <w:spacing w:line="276" w:lineRule="auto"/>
        <w:ind w:left="567"/>
        <w:jc w:val="both"/>
        <w:rPr>
          <w:rFonts w:eastAsiaTheme="minorEastAsia" w:cs="Tahoma"/>
          <w:color w:val="0A0A0A"/>
          <w:sz w:val="22"/>
          <w:szCs w:val="22"/>
        </w:rPr>
      </w:pPr>
      <w:r w:rsidRPr="001E37D8">
        <w:rPr>
          <w:rFonts w:cs="Tahoma"/>
          <w:sz w:val="22"/>
          <w:szCs w:val="22"/>
        </w:rPr>
        <w:t xml:space="preserve">Se incluye anexo con información ampliada por comité </w:t>
      </w:r>
      <w:proofErr w:type="gramStart"/>
      <w:r w:rsidRPr="001E37D8">
        <w:rPr>
          <w:rFonts w:cs="Tahoma"/>
          <w:sz w:val="22"/>
          <w:szCs w:val="22"/>
        </w:rPr>
        <w:t>en :</w:t>
      </w:r>
      <w:proofErr w:type="gramEnd"/>
      <w:r w:rsidRPr="001E37D8">
        <w:rPr>
          <w:rFonts w:cs="Tahoma"/>
          <w:sz w:val="22"/>
          <w:szCs w:val="22"/>
        </w:rPr>
        <w:t xml:space="preserve"> </w:t>
      </w:r>
      <w:r w:rsidRPr="001E37D8">
        <w:rPr>
          <w:rFonts w:cs="Tahoma"/>
          <w:b/>
          <w:bCs/>
          <w:sz w:val="22"/>
          <w:szCs w:val="22"/>
        </w:rPr>
        <w:t>ANEXO 27.D</w:t>
      </w:r>
    </w:p>
    <w:p w14:paraId="2D713EA2" w14:textId="77777777" w:rsidR="00DE3C06" w:rsidRPr="001E37D8" w:rsidRDefault="00DE3C06" w:rsidP="00DE3C06">
      <w:pPr>
        <w:pStyle w:val="Ttulo1"/>
        <w:spacing w:line="276" w:lineRule="auto"/>
        <w:rPr>
          <w:rFonts w:cs="Tahoma"/>
          <w:color w:val="0070C0"/>
        </w:rPr>
      </w:pPr>
      <w:bookmarkStart w:id="45" w:name="_Toc234168108"/>
      <w:r w:rsidRPr="001E37D8">
        <w:rPr>
          <w:rFonts w:cs="Tahoma"/>
          <w:color w:val="0070C0"/>
        </w:rPr>
        <w:t>9.3 Instancias de participación internas</w:t>
      </w:r>
      <w:bookmarkEnd w:id="45"/>
    </w:p>
    <w:p w14:paraId="6C7CA1E5" w14:textId="77777777" w:rsidR="00DE3C06" w:rsidRPr="000C5171" w:rsidRDefault="00DE3C06" w:rsidP="00DE3C06">
      <w:pPr>
        <w:spacing w:line="276" w:lineRule="auto"/>
        <w:jc w:val="both"/>
        <w:rPr>
          <w:rFonts w:cs="Tahoma"/>
          <w:sz w:val="22"/>
          <w:szCs w:val="22"/>
        </w:rPr>
      </w:pPr>
      <w:r w:rsidRPr="000C5171">
        <w:rPr>
          <w:rFonts w:cs="Tahoma"/>
          <w:sz w:val="22"/>
          <w:szCs w:val="22"/>
        </w:rPr>
        <w:t xml:space="preserve">A continuación, se mencionan los espacios identificados, sin embargo, para ampliar información respecto a la reglamentación y delegación frente a cada uno se incluye ANEXO 28 </w:t>
      </w:r>
      <w:r w:rsidRPr="000C5171">
        <w:rPr>
          <w:rFonts w:cs="Tahoma"/>
          <w:b/>
          <w:bCs/>
          <w:sz w:val="22"/>
          <w:szCs w:val="22"/>
        </w:rPr>
        <w:t>Instancias Internas _ Comités.</w:t>
      </w:r>
    </w:p>
    <w:p w14:paraId="045BAE41" w14:textId="77777777" w:rsidR="00DE3C06" w:rsidRPr="000C5171" w:rsidRDefault="00DE3C06">
      <w:pPr>
        <w:pStyle w:val="Prrafodelista"/>
        <w:numPr>
          <w:ilvl w:val="0"/>
          <w:numId w:val="28"/>
        </w:numPr>
        <w:spacing w:line="276" w:lineRule="auto"/>
        <w:rPr>
          <w:sz w:val="22"/>
          <w:szCs w:val="22"/>
        </w:rPr>
      </w:pPr>
      <w:r w:rsidRPr="000C5171">
        <w:rPr>
          <w:sz w:val="22"/>
          <w:szCs w:val="22"/>
        </w:rPr>
        <w:t>Comité de Conciliación ART</w:t>
      </w:r>
    </w:p>
    <w:p w14:paraId="4C38A1FE" w14:textId="77777777" w:rsidR="00DE3C06" w:rsidRPr="000C5171" w:rsidRDefault="00DE3C06">
      <w:pPr>
        <w:pStyle w:val="Prrafodelista"/>
        <w:numPr>
          <w:ilvl w:val="0"/>
          <w:numId w:val="28"/>
        </w:numPr>
        <w:spacing w:line="276" w:lineRule="auto"/>
        <w:rPr>
          <w:sz w:val="22"/>
          <w:szCs w:val="22"/>
        </w:rPr>
      </w:pPr>
      <w:r w:rsidRPr="000C5171">
        <w:rPr>
          <w:sz w:val="22"/>
          <w:szCs w:val="22"/>
        </w:rPr>
        <w:t>Comité de Dirección</w:t>
      </w:r>
    </w:p>
    <w:p w14:paraId="33AB77D3" w14:textId="77777777" w:rsidR="00DE3C06" w:rsidRPr="000C5171" w:rsidRDefault="00DE3C06">
      <w:pPr>
        <w:pStyle w:val="Prrafodelista"/>
        <w:numPr>
          <w:ilvl w:val="0"/>
          <w:numId w:val="28"/>
        </w:numPr>
        <w:spacing w:line="276" w:lineRule="auto"/>
        <w:rPr>
          <w:sz w:val="22"/>
          <w:szCs w:val="22"/>
        </w:rPr>
      </w:pPr>
      <w:r w:rsidRPr="000C5171">
        <w:rPr>
          <w:sz w:val="22"/>
          <w:szCs w:val="22"/>
        </w:rPr>
        <w:t>Comité Asesor de Contratación</w:t>
      </w:r>
    </w:p>
    <w:p w14:paraId="5420985E" w14:textId="77777777" w:rsidR="00DE3C06" w:rsidRPr="000C5171" w:rsidRDefault="00DE3C06">
      <w:pPr>
        <w:pStyle w:val="Prrafodelista"/>
        <w:numPr>
          <w:ilvl w:val="0"/>
          <w:numId w:val="28"/>
        </w:numPr>
        <w:spacing w:line="276" w:lineRule="auto"/>
        <w:rPr>
          <w:sz w:val="22"/>
          <w:szCs w:val="22"/>
        </w:rPr>
      </w:pPr>
      <w:r w:rsidRPr="000C5171">
        <w:rPr>
          <w:sz w:val="22"/>
          <w:szCs w:val="22"/>
        </w:rPr>
        <w:t>Comité de Evaluación de Bienes</w:t>
      </w:r>
    </w:p>
    <w:p w14:paraId="01822944" w14:textId="77777777" w:rsidR="00DE3C06" w:rsidRPr="000C5171" w:rsidRDefault="00DE3C06">
      <w:pPr>
        <w:pStyle w:val="Prrafodelista"/>
        <w:numPr>
          <w:ilvl w:val="0"/>
          <w:numId w:val="28"/>
        </w:numPr>
        <w:spacing w:line="276" w:lineRule="auto"/>
        <w:rPr>
          <w:sz w:val="22"/>
          <w:szCs w:val="22"/>
        </w:rPr>
      </w:pPr>
      <w:r w:rsidRPr="000C5171">
        <w:rPr>
          <w:sz w:val="22"/>
          <w:szCs w:val="22"/>
        </w:rPr>
        <w:t>Comité Técnico de Sostenibilidad Contable (CTSC)</w:t>
      </w:r>
    </w:p>
    <w:p w14:paraId="7975C461" w14:textId="77777777" w:rsidR="00DE3C06" w:rsidRPr="000C5171" w:rsidRDefault="00DE3C06">
      <w:pPr>
        <w:pStyle w:val="Prrafodelista"/>
        <w:numPr>
          <w:ilvl w:val="0"/>
          <w:numId w:val="28"/>
        </w:numPr>
        <w:spacing w:line="276" w:lineRule="auto"/>
        <w:rPr>
          <w:sz w:val="22"/>
          <w:szCs w:val="22"/>
        </w:rPr>
      </w:pPr>
      <w:r w:rsidRPr="000C5171">
        <w:rPr>
          <w:sz w:val="22"/>
          <w:szCs w:val="22"/>
        </w:rPr>
        <w:t>Comité Institucional de Gestión y Desempeño</w:t>
      </w:r>
    </w:p>
    <w:p w14:paraId="35FBC3A9" w14:textId="77777777" w:rsidR="00DE3C06" w:rsidRPr="000C5171" w:rsidRDefault="00DE3C06">
      <w:pPr>
        <w:pStyle w:val="Prrafodelista"/>
        <w:numPr>
          <w:ilvl w:val="0"/>
          <w:numId w:val="28"/>
        </w:numPr>
        <w:spacing w:line="276" w:lineRule="auto"/>
        <w:rPr>
          <w:sz w:val="22"/>
          <w:szCs w:val="22"/>
        </w:rPr>
      </w:pPr>
      <w:r w:rsidRPr="000C5171">
        <w:rPr>
          <w:sz w:val="22"/>
          <w:szCs w:val="22"/>
        </w:rPr>
        <w:t>Comisión de Personal</w:t>
      </w:r>
    </w:p>
    <w:p w14:paraId="168E0A88" w14:textId="77777777" w:rsidR="00DE3C06" w:rsidRPr="000C5171" w:rsidRDefault="00DE3C06">
      <w:pPr>
        <w:pStyle w:val="Prrafodelista"/>
        <w:numPr>
          <w:ilvl w:val="0"/>
          <w:numId w:val="28"/>
        </w:numPr>
        <w:spacing w:line="276" w:lineRule="auto"/>
        <w:rPr>
          <w:sz w:val="22"/>
          <w:szCs w:val="22"/>
        </w:rPr>
      </w:pPr>
      <w:r w:rsidRPr="000C5171">
        <w:rPr>
          <w:sz w:val="22"/>
          <w:szCs w:val="22"/>
        </w:rPr>
        <w:t>Comité de Convivencia Laboral</w:t>
      </w:r>
    </w:p>
    <w:p w14:paraId="6236B89B" w14:textId="77777777" w:rsidR="00DE3C06" w:rsidRPr="000C5171" w:rsidRDefault="00DE3C06">
      <w:pPr>
        <w:pStyle w:val="Prrafodelista"/>
        <w:numPr>
          <w:ilvl w:val="0"/>
          <w:numId w:val="28"/>
        </w:numPr>
        <w:spacing w:line="276" w:lineRule="auto"/>
        <w:rPr>
          <w:sz w:val="22"/>
          <w:szCs w:val="22"/>
        </w:rPr>
      </w:pPr>
      <w:r w:rsidRPr="000C5171">
        <w:rPr>
          <w:sz w:val="22"/>
          <w:szCs w:val="22"/>
        </w:rPr>
        <w:t>Comité del Sistema de Control Interno</w:t>
      </w:r>
    </w:p>
    <w:p w14:paraId="6854EACC" w14:textId="77777777" w:rsidR="00DE3C06" w:rsidRPr="000C5171" w:rsidRDefault="00DE3C06">
      <w:pPr>
        <w:pStyle w:val="Prrafodelista"/>
        <w:numPr>
          <w:ilvl w:val="0"/>
          <w:numId w:val="28"/>
        </w:numPr>
        <w:spacing w:line="276" w:lineRule="auto"/>
        <w:rPr>
          <w:sz w:val="22"/>
          <w:szCs w:val="22"/>
        </w:rPr>
      </w:pPr>
      <w:r w:rsidRPr="000C5171">
        <w:rPr>
          <w:sz w:val="22"/>
          <w:szCs w:val="22"/>
        </w:rPr>
        <w:t>Comité Paritario de Seguridad y Salud en el Trabajo SGSST</w:t>
      </w:r>
    </w:p>
    <w:p w14:paraId="1CC081CF" w14:textId="77777777" w:rsidR="00DE3C06" w:rsidRPr="000C5171" w:rsidRDefault="00DE3C06">
      <w:pPr>
        <w:pStyle w:val="Prrafodelista"/>
        <w:numPr>
          <w:ilvl w:val="0"/>
          <w:numId w:val="28"/>
        </w:numPr>
        <w:spacing w:line="276" w:lineRule="auto"/>
        <w:rPr>
          <w:sz w:val="22"/>
          <w:szCs w:val="22"/>
        </w:rPr>
      </w:pPr>
      <w:r w:rsidRPr="000C5171">
        <w:rPr>
          <w:sz w:val="22"/>
          <w:szCs w:val="22"/>
        </w:rPr>
        <w:t>Mesa de Trabajo para el Modelo de Gobierno de Información Misional PDET</w:t>
      </w:r>
    </w:p>
    <w:p w14:paraId="204092AE" w14:textId="77777777" w:rsidR="00DE3C06" w:rsidRPr="000C5171" w:rsidRDefault="00DE3C06" w:rsidP="00DE3C06">
      <w:pPr>
        <w:spacing w:line="276" w:lineRule="auto"/>
        <w:rPr>
          <w:sz w:val="22"/>
          <w:szCs w:val="22"/>
        </w:rPr>
      </w:pPr>
    </w:p>
    <w:p w14:paraId="6847E4B1" w14:textId="77777777" w:rsidR="00DE3C06" w:rsidRPr="000C5171" w:rsidRDefault="00DE3C06">
      <w:pPr>
        <w:pStyle w:val="Ttulo1"/>
        <w:numPr>
          <w:ilvl w:val="0"/>
          <w:numId w:val="2"/>
        </w:numPr>
        <w:spacing w:line="276" w:lineRule="auto"/>
        <w:ind w:left="0" w:firstLine="0"/>
        <w:rPr>
          <w:rFonts w:cs="Tahoma"/>
        </w:rPr>
      </w:pPr>
      <w:bookmarkStart w:id="46" w:name="_Toc234168109"/>
      <w:r w:rsidRPr="000C5171">
        <w:rPr>
          <w:rFonts w:cs="Tahoma"/>
        </w:rPr>
        <w:t>ASUNTOS JURÍDICOS Y DE CONTROL</w:t>
      </w:r>
      <w:bookmarkEnd w:id="46"/>
      <w:r w:rsidRPr="000C5171">
        <w:rPr>
          <w:rFonts w:cs="Tahoma"/>
        </w:rPr>
        <w:tab/>
      </w:r>
    </w:p>
    <w:p w14:paraId="291D3F15" w14:textId="77777777" w:rsidR="00DE3C06" w:rsidRPr="000C5171" w:rsidRDefault="00DE3C06" w:rsidP="00DE3C06">
      <w:pPr>
        <w:pStyle w:val="Ttulo1"/>
        <w:spacing w:line="276" w:lineRule="auto"/>
        <w:rPr>
          <w:rFonts w:cs="Tahoma"/>
          <w:color w:val="0070C0"/>
        </w:rPr>
      </w:pPr>
      <w:bookmarkStart w:id="47" w:name="_Toc234168110"/>
      <w:r w:rsidRPr="000C5171">
        <w:rPr>
          <w:rFonts w:cs="Tahoma"/>
          <w:color w:val="0070C0"/>
        </w:rPr>
        <w:t>10.1 Acciones judiciales</w:t>
      </w:r>
      <w:r w:rsidRPr="000C5171">
        <w:rPr>
          <w:rStyle w:val="Refdenotaalpie"/>
          <w:rFonts w:cs="Tahoma"/>
          <w:color w:val="0070C0"/>
        </w:rPr>
        <w:footnoteReference w:id="38"/>
      </w:r>
      <w:bookmarkEnd w:id="47"/>
      <w:r w:rsidRPr="000C5171">
        <w:rPr>
          <w:rFonts w:cs="Tahoma"/>
          <w:color w:val="0070C0"/>
        </w:rPr>
        <w:t xml:space="preserve"> </w:t>
      </w:r>
      <w:r w:rsidRPr="000C5171">
        <w:rPr>
          <w:rFonts w:cs="Tahoma"/>
          <w:color w:val="0070C0"/>
        </w:rPr>
        <w:tab/>
      </w:r>
      <w:r w:rsidRPr="000C5171">
        <w:rPr>
          <w:rFonts w:cs="Tahoma"/>
          <w:color w:val="0070C0"/>
        </w:rPr>
        <w:tab/>
      </w:r>
      <w:r w:rsidRPr="000C5171">
        <w:rPr>
          <w:rFonts w:cs="Tahoma"/>
          <w:color w:val="0070C0"/>
        </w:rPr>
        <w:tab/>
      </w:r>
      <w:r w:rsidRPr="000C5171">
        <w:rPr>
          <w:rFonts w:cs="Tahoma"/>
          <w:color w:val="0070C0"/>
        </w:rPr>
        <w:tab/>
      </w:r>
      <w:r w:rsidRPr="000C5171">
        <w:rPr>
          <w:rFonts w:cs="Tahoma"/>
          <w:color w:val="0070C0"/>
        </w:rPr>
        <w:tab/>
      </w:r>
      <w:r w:rsidRPr="000C5171">
        <w:rPr>
          <w:rFonts w:cs="Tahoma"/>
          <w:color w:val="0070C0"/>
        </w:rPr>
        <w:tab/>
      </w:r>
    </w:p>
    <w:p w14:paraId="6209C7DE" w14:textId="77777777" w:rsidR="00DE3C06" w:rsidRPr="000C5171" w:rsidRDefault="00DE3C06">
      <w:pPr>
        <w:pStyle w:val="Prrafodelista"/>
        <w:numPr>
          <w:ilvl w:val="0"/>
          <w:numId w:val="13"/>
        </w:numPr>
        <w:spacing w:after="0" w:line="276" w:lineRule="auto"/>
        <w:jc w:val="both"/>
        <w:rPr>
          <w:rFonts w:cs="Tahoma"/>
          <w:b/>
          <w:bCs/>
          <w:sz w:val="22"/>
          <w:szCs w:val="22"/>
        </w:rPr>
      </w:pPr>
      <w:r w:rsidRPr="000C5171">
        <w:rPr>
          <w:rFonts w:cs="Tahoma"/>
          <w:b/>
          <w:bCs/>
          <w:sz w:val="22"/>
          <w:szCs w:val="22"/>
        </w:rPr>
        <w:t xml:space="preserve">Procesos judiciales reportados </w:t>
      </w:r>
      <w:proofErr w:type="gramStart"/>
      <w:r w:rsidRPr="000C5171">
        <w:rPr>
          <w:rFonts w:cs="Tahoma"/>
          <w:b/>
          <w:bCs/>
          <w:sz w:val="22"/>
          <w:szCs w:val="22"/>
        </w:rPr>
        <w:t>en  Sistema</w:t>
      </w:r>
      <w:proofErr w:type="gramEnd"/>
      <w:r w:rsidRPr="000C5171">
        <w:rPr>
          <w:rFonts w:cs="Tahoma"/>
          <w:b/>
          <w:bCs/>
          <w:sz w:val="22"/>
          <w:szCs w:val="22"/>
        </w:rPr>
        <w:t xml:space="preserve"> Único de Gestión e Información de la Actividad Litigiosa del Estado -EKOGUI</w:t>
      </w:r>
    </w:p>
    <w:p w14:paraId="2C45752E" w14:textId="77777777" w:rsidR="00DE3C06" w:rsidRPr="000C5171" w:rsidRDefault="00DE3C06" w:rsidP="00DE3C06">
      <w:pPr>
        <w:pStyle w:val="Prrafodelista"/>
        <w:spacing w:after="0" w:line="276" w:lineRule="auto"/>
        <w:jc w:val="both"/>
        <w:rPr>
          <w:rFonts w:cs="Tahoma"/>
          <w:b/>
          <w:bCs/>
          <w:sz w:val="22"/>
          <w:szCs w:val="22"/>
        </w:rPr>
      </w:pPr>
    </w:p>
    <w:p w14:paraId="7FAD1DE7" w14:textId="77777777" w:rsidR="00DE3C06" w:rsidRPr="000C5171" w:rsidRDefault="00DE3C06" w:rsidP="00DE3C06">
      <w:pPr>
        <w:spacing w:after="0" w:line="276" w:lineRule="auto"/>
        <w:jc w:val="both"/>
        <w:rPr>
          <w:rFonts w:cs="Tahoma"/>
          <w:sz w:val="22"/>
          <w:szCs w:val="22"/>
        </w:rPr>
      </w:pPr>
      <w:r w:rsidRPr="000C5171">
        <w:rPr>
          <w:rFonts w:cs="Tahoma"/>
          <w:bCs/>
          <w:sz w:val="22"/>
          <w:szCs w:val="22"/>
        </w:rPr>
        <w:t xml:space="preserve">Con corte al 30 de junio de 2026, la Agencia registra setenta y dos (72) procesos judiciales activos en el Sistema </w:t>
      </w:r>
      <w:proofErr w:type="spellStart"/>
      <w:r w:rsidRPr="000C5171">
        <w:rPr>
          <w:rFonts w:cs="Tahoma"/>
          <w:bCs/>
          <w:sz w:val="22"/>
          <w:szCs w:val="22"/>
        </w:rPr>
        <w:t>Ekogui</w:t>
      </w:r>
      <w:proofErr w:type="spellEnd"/>
      <w:r w:rsidRPr="000C5171">
        <w:rPr>
          <w:rFonts w:cs="Tahoma"/>
          <w:bCs/>
          <w:sz w:val="22"/>
          <w:szCs w:val="22"/>
        </w:rPr>
        <w:t xml:space="preserve">. La distribución de dichos procesos, según la clase de actuación judicial, es la siguiente: </w:t>
      </w:r>
    </w:p>
    <w:p w14:paraId="2F612FF7" w14:textId="77777777" w:rsidR="00DE3C06" w:rsidRPr="000C5171" w:rsidRDefault="00DE3C06" w:rsidP="00DE3C06">
      <w:pPr>
        <w:spacing w:line="276" w:lineRule="auto"/>
        <w:jc w:val="center"/>
        <w:rPr>
          <w:rFonts w:cs="Arial"/>
          <w:sz w:val="22"/>
          <w:szCs w:val="22"/>
        </w:rPr>
      </w:pPr>
      <w:r w:rsidRPr="000C5171">
        <w:rPr>
          <w:rFonts w:cs="Arial"/>
          <w:b/>
          <w:bCs/>
          <w:sz w:val="22"/>
          <w:szCs w:val="22"/>
        </w:rPr>
        <w:t xml:space="preserve">             Tabla 16A. </w:t>
      </w:r>
      <w:r w:rsidRPr="000C5171">
        <w:rPr>
          <w:rFonts w:cs="Arial"/>
          <w:sz w:val="22"/>
          <w:szCs w:val="22"/>
        </w:rPr>
        <w:t xml:space="preserve">Acciones Judiciales, </w:t>
      </w:r>
    </w:p>
    <w:tbl>
      <w:tblPr>
        <w:tblW w:w="6660" w:type="dxa"/>
        <w:jc w:val="center"/>
        <w:tblCellMar>
          <w:left w:w="70" w:type="dxa"/>
          <w:right w:w="70" w:type="dxa"/>
        </w:tblCellMar>
        <w:tblLook w:val="04A0" w:firstRow="1" w:lastRow="0" w:firstColumn="1" w:lastColumn="0" w:noHBand="0" w:noVBand="1"/>
      </w:tblPr>
      <w:tblGrid>
        <w:gridCol w:w="4120"/>
        <w:gridCol w:w="1300"/>
        <w:gridCol w:w="1240"/>
      </w:tblGrid>
      <w:tr w:rsidR="00DE3C06" w:rsidRPr="000C5171" w14:paraId="52324DC0" w14:textId="77777777" w:rsidTr="008A49D0">
        <w:trPr>
          <w:trHeight w:val="465"/>
          <w:jc w:val="center"/>
        </w:trPr>
        <w:tc>
          <w:tcPr>
            <w:tcW w:w="4120" w:type="dxa"/>
            <w:tcBorders>
              <w:top w:val="single" w:sz="4" w:space="0" w:color="auto"/>
              <w:left w:val="single" w:sz="4" w:space="0" w:color="auto"/>
              <w:bottom w:val="single" w:sz="4" w:space="0" w:color="auto"/>
              <w:right w:val="single" w:sz="4" w:space="0" w:color="auto"/>
            </w:tcBorders>
            <w:shd w:val="clear" w:color="auto" w:fill="C1F0C7"/>
            <w:noWrap/>
            <w:vAlign w:val="bottom"/>
            <w:hideMark/>
          </w:tcPr>
          <w:p w14:paraId="3E79D2C0" w14:textId="77777777" w:rsidR="00DE3C06" w:rsidRPr="000C5171" w:rsidRDefault="00DE3C06" w:rsidP="008A49D0">
            <w:pPr>
              <w:spacing w:after="0" w:line="240" w:lineRule="auto"/>
              <w:jc w:val="center"/>
              <w:rPr>
                <w:rFonts w:eastAsia="Times New Roman" w:cs="Calibri"/>
                <w:b/>
                <w:bCs/>
                <w:sz w:val="22"/>
                <w:szCs w:val="22"/>
              </w:rPr>
            </w:pPr>
            <w:r w:rsidRPr="000C5171">
              <w:rPr>
                <w:rFonts w:eastAsia="Times New Roman" w:cs="Calibri"/>
                <w:b/>
                <w:bCs/>
                <w:sz w:val="22"/>
                <w:szCs w:val="22"/>
              </w:rPr>
              <w:t>Clase de proceso</w:t>
            </w:r>
          </w:p>
        </w:tc>
        <w:tc>
          <w:tcPr>
            <w:tcW w:w="1300" w:type="dxa"/>
            <w:tcBorders>
              <w:top w:val="single" w:sz="4" w:space="0" w:color="auto"/>
              <w:left w:val="single" w:sz="4" w:space="0" w:color="auto"/>
              <w:bottom w:val="single" w:sz="4" w:space="0" w:color="auto"/>
              <w:right w:val="single" w:sz="4" w:space="0" w:color="auto"/>
            </w:tcBorders>
            <w:shd w:val="clear" w:color="auto" w:fill="C1F0C7"/>
            <w:noWrap/>
            <w:vAlign w:val="bottom"/>
            <w:hideMark/>
          </w:tcPr>
          <w:p w14:paraId="6296D62E" w14:textId="77777777" w:rsidR="00DE3C06" w:rsidRPr="000C5171" w:rsidRDefault="00DE3C06" w:rsidP="008A49D0">
            <w:pPr>
              <w:spacing w:after="0" w:line="240" w:lineRule="auto"/>
              <w:jc w:val="center"/>
              <w:rPr>
                <w:rFonts w:eastAsia="Times New Roman" w:cs="Calibri"/>
                <w:b/>
                <w:bCs/>
                <w:sz w:val="22"/>
                <w:szCs w:val="22"/>
              </w:rPr>
            </w:pPr>
            <w:r w:rsidRPr="000C5171">
              <w:rPr>
                <w:rFonts w:eastAsia="Times New Roman" w:cs="Calibri"/>
                <w:b/>
                <w:bCs/>
                <w:sz w:val="22"/>
                <w:szCs w:val="22"/>
              </w:rPr>
              <w:t>No.</w:t>
            </w:r>
          </w:p>
        </w:tc>
        <w:tc>
          <w:tcPr>
            <w:tcW w:w="1240" w:type="dxa"/>
            <w:tcBorders>
              <w:top w:val="single" w:sz="4" w:space="0" w:color="auto"/>
              <w:left w:val="single" w:sz="4" w:space="0" w:color="auto"/>
              <w:bottom w:val="single" w:sz="4" w:space="0" w:color="auto"/>
              <w:right w:val="single" w:sz="4" w:space="0" w:color="auto"/>
            </w:tcBorders>
            <w:shd w:val="clear" w:color="auto" w:fill="C1F0C7"/>
            <w:noWrap/>
            <w:vAlign w:val="bottom"/>
            <w:hideMark/>
          </w:tcPr>
          <w:p w14:paraId="4FA39906" w14:textId="77777777" w:rsidR="00DE3C06" w:rsidRPr="000C5171" w:rsidRDefault="00DE3C06" w:rsidP="008A49D0">
            <w:pPr>
              <w:spacing w:after="0" w:line="240" w:lineRule="auto"/>
              <w:jc w:val="center"/>
              <w:rPr>
                <w:rFonts w:eastAsia="Times New Roman" w:cs="Calibri"/>
                <w:b/>
                <w:bCs/>
                <w:sz w:val="22"/>
                <w:szCs w:val="22"/>
              </w:rPr>
            </w:pPr>
            <w:r w:rsidRPr="000C5171">
              <w:rPr>
                <w:rFonts w:eastAsia="Times New Roman" w:cs="Calibri"/>
                <w:b/>
                <w:bCs/>
                <w:sz w:val="22"/>
                <w:szCs w:val="22"/>
              </w:rPr>
              <w:t>%</w:t>
            </w:r>
          </w:p>
        </w:tc>
      </w:tr>
      <w:tr w:rsidR="00DE3C06" w:rsidRPr="000C5171" w14:paraId="13CF1FFE" w14:textId="77777777" w:rsidTr="008A49D0">
        <w:trPr>
          <w:trHeight w:val="300"/>
          <w:jc w:val="center"/>
        </w:trPr>
        <w:tc>
          <w:tcPr>
            <w:tcW w:w="4120" w:type="dxa"/>
            <w:tcBorders>
              <w:top w:val="single" w:sz="4" w:space="0" w:color="auto"/>
              <w:left w:val="single" w:sz="4" w:space="0" w:color="auto"/>
              <w:bottom w:val="single" w:sz="4" w:space="0" w:color="auto"/>
              <w:right w:val="single" w:sz="4" w:space="0" w:color="auto"/>
            </w:tcBorders>
            <w:noWrap/>
            <w:vAlign w:val="bottom"/>
            <w:hideMark/>
          </w:tcPr>
          <w:p w14:paraId="6EDD9F08" w14:textId="77777777" w:rsidR="00DE3C06" w:rsidRPr="000C5171" w:rsidRDefault="00DE3C06" w:rsidP="008A49D0">
            <w:pPr>
              <w:spacing w:after="0" w:line="240" w:lineRule="auto"/>
              <w:rPr>
                <w:rFonts w:eastAsia="Times New Roman" w:cs="Calibri"/>
                <w:color w:val="275317" w:themeColor="accent6" w:themeShade="80"/>
                <w:sz w:val="22"/>
                <w:szCs w:val="22"/>
              </w:rPr>
            </w:pPr>
            <w:r w:rsidRPr="000C5171">
              <w:rPr>
                <w:rFonts w:eastAsia="Times New Roman" w:cs="Calibri"/>
                <w:color w:val="275317" w:themeColor="accent6" w:themeShade="80"/>
                <w:sz w:val="22"/>
                <w:szCs w:val="22"/>
              </w:rPr>
              <w:t>Reparación Directa</w:t>
            </w:r>
          </w:p>
        </w:tc>
        <w:tc>
          <w:tcPr>
            <w:tcW w:w="1300" w:type="dxa"/>
            <w:tcBorders>
              <w:top w:val="single" w:sz="4" w:space="0" w:color="auto"/>
              <w:left w:val="single" w:sz="4" w:space="0" w:color="auto"/>
              <w:bottom w:val="single" w:sz="4" w:space="0" w:color="auto"/>
              <w:right w:val="single" w:sz="4" w:space="0" w:color="auto"/>
            </w:tcBorders>
            <w:noWrap/>
            <w:vAlign w:val="bottom"/>
            <w:hideMark/>
          </w:tcPr>
          <w:p w14:paraId="472ADF68" w14:textId="77777777" w:rsidR="00DE3C06" w:rsidRPr="000C5171" w:rsidRDefault="00DE3C06" w:rsidP="008A49D0">
            <w:pPr>
              <w:spacing w:after="0" w:line="240" w:lineRule="auto"/>
              <w:jc w:val="center"/>
              <w:rPr>
                <w:rFonts w:eastAsia="Times New Roman" w:cs="Calibri"/>
                <w:color w:val="275317" w:themeColor="accent6" w:themeShade="80"/>
                <w:sz w:val="22"/>
                <w:szCs w:val="22"/>
              </w:rPr>
            </w:pPr>
            <w:r w:rsidRPr="000C5171">
              <w:rPr>
                <w:rFonts w:eastAsia="Times New Roman" w:cs="Calibri"/>
                <w:color w:val="275317" w:themeColor="accent6" w:themeShade="80"/>
                <w:sz w:val="22"/>
                <w:szCs w:val="22"/>
              </w:rPr>
              <w:t>25</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52C96907" w14:textId="77777777" w:rsidR="00DE3C06" w:rsidRPr="000C5171" w:rsidRDefault="00DE3C06" w:rsidP="008A49D0">
            <w:pPr>
              <w:spacing w:after="0" w:line="240" w:lineRule="auto"/>
              <w:jc w:val="center"/>
              <w:rPr>
                <w:rFonts w:eastAsia="Times New Roman" w:cs="Calibri"/>
                <w:color w:val="275317" w:themeColor="accent6" w:themeShade="80"/>
                <w:sz w:val="22"/>
                <w:szCs w:val="22"/>
              </w:rPr>
            </w:pPr>
            <w:r w:rsidRPr="000C5171">
              <w:rPr>
                <w:rFonts w:eastAsia="Times New Roman" w:cs="Calibri"/>
                <w:color w:val="275317" w:themeColor="accent6" w:themeShade="80"/>
                <w:sz w:val="22"/>
                <w:szCs w:val="22"/>
              </w:rPr>
              <w:t>35%</w:t>
            </w:r>
          </w:p>
        </w:tc>
      </w:tr>
      <w:tr w:rsidR="00DE3C06" w:rsidRPr="000C5171" w14:paraId="05F8622F" w14:textId="77777777" w:rsidTr="008A49D0">
        <w:trPr>
          <w:trHeight w:val="300"/>
          <w:jc w:val="center"/>
        </w:trPr>
        <w:tc>
          <w:tcPr>
            <w:tcW w:w="4120" w:type="dxa"/>
            <w:tcBorders>
              <w:top w:val="single" w:sz="4" w:space="0" w:color="auto"/>
              <w:left w:val="single" w:sz="4" w:space="0" w:color="auto"/>
              <w:bottom w:val="single" w:sz="4" w:space="0" w:color="auto"/>
              <w:right w:val="single" w:sz="4" w:space="0" w:color="auto"/>
            </w:tcBorders>
            <w:noWrap/>
            <w:vAlign w:val="bottom"/>
            <w:hideMark/>
          </w:tcPr>
          <w:p w14:paraId="0C0AFCB6" w14:textId="77777777" w:rsidR="00DE3C06" w:rsidRPr="000C5171" w:rsidRDefault="00DE3C06" w:rsidP="008A49D0">
            <w:pPr>
              <w:spacing w:after="0" w:line="240" w:lineRule="auto"/>
              <w:rPr>
                <w:rFonts w:eastAsia="Times New Roman" w:cs="Calibri"/>
                <w:color w:val="275317" w:themeColor="accent6" w:themeShade="80"/>
                <w:sz w:val="22"/>
                <w:szCs w:val="22"/>
              </w:rPr>
            </w:pPr>
            <w:r w:rsidRPr="000C5171">
              <w:rPr>
                <w:rFonts w:eastAsia="Times New Roman" w:cs="Calibri"/>
                <w:color w:val="275317" w:themeColor="accent6" w:themeShade="80"/>
                <w:sz w:val="22"/>
                <w:szCs w:val="22"/>
              </w:rPr>
              <w:t>Ordinario Laboral</w:t>
            </w:r>
          </w:p>
        </w:tc>
        <w:tc>
          <w:tcPr>
            <w:tcW w:w="1300" w:type="dxa"/>
            <w:tcBorders>
              <w:top w:val="single" w:sz="4" w:space="0" w:color="auto"/>
              <w:left w:val="single" w:sz="4" w:space="0" w:color="auto"/>
              <w:bottom w:val="single" w:sz="4" w:space="0" w:color="auto"/>
              <w:right w:val="single" w:sz="4" w:space="0" w:color="auto"/>
            </w:tcBorders>
            <w:noWrap/>
            <w:vAlign w:val="bottom"/>
            <w:hideMark/>
          </w:tcPr>
          <w:p w14:paraId="1C8D96C1" w14:textId="77777777" w:rsidR="00DE3C06" w:rsidRPr="000C5171" w:rsidRDefault="00DE3C06" w:rsidP="008A49D0">
            <w:pPr>
              <w:spacing w:after="0" w:line="240" w:lineRule="auto"/>
              <w:jc w:val="center"/>
              <w:rPr>
                <w:rFonts w:eastAsia="Times New Roman" w:cs="Calibri"/>
                <w:color w:val="275317" w:themeColor="accent6" w:themeShade="80"/>
                <w:sz w:val="22"/>
                <w:szCs w:val="22"/>
              </w:rPr>
            </w:pPr>
            <w:r w:rsidRPr="000C5171">
              <w:rPr>
                <w:rFonts w:eastAsia="Times New Roman" w:cs="Calibri"/>
                <w:color w:val="275317" w:themeColor="accent6" w:themeShade="80"/>
                <w:sz w:val="22"/>
                <w:szCs w:val="22"/>
              </w:rPr>
              <w:t>17</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7EDD2C45" w14:textId="77777777" w:rsidR="00DE3C06" w:rsidRPr="000C5171" w:rsidRDefault="00DE3C06" w:rsidP="008A49D0">
            <w:pPr>
              <w:spacing w:after="0" w:line="240" w:lineRule="auto"/>
              <w:jc w:val="center"/>
              <w:rPr>
                <w:rFonts w:eastAsia="Times New Roman" w:cs="Calibri"/>
                <w:color w:val="275317" w:themeColor="accent6" w:themeShade="80"/>
                <w:sz w:val="22"/>
                <w:szCs w:val="22"/>
              </w:rPr>
            </w:pPr>
            <w:r w:rsidRPr="000C5171">
              <w:rPr>
                <w:rFonts w:eastAsia="Times New Roman" w:cs="Calibri"/>
                <w:color w:val="275317" w:themeColor="accent6" w:themeShade="80"/>
                <w:sz w:val="22"/>
                <w:szCs w:val="22"/>
              </w:rPr>
              <w:t>24%</w:t>
            </w:r>
          </w:p>
        </w:tc>
      </w:tr>
      <w:tr w:rsidR="00DE3C06" w:rsidRPr="000C5171" w14:paraId="1A5117DE" w14:textId="77777777" w:rsidTr="008A49D0">
        <w:trPr>
          <w:trHeight w:val="300"/>
          <w:jc w:val="center"/>
        </w:trPr>
        <w:tc>
          <w:tcPr>
            <w:tcW w:w="4120" w:type="dxa"/>
            <w:tcBorders>
              <w:top w:val="single" w:sz="4" w:space="0" w:color="auto"/>
              <w:left w:val="single" w:sz="4" w:space="0" w:color="auto"/>
              <w:bottom w:val="single" w:sz="4" w:space="0" w:color="auto"/>
              <w:right w:val="single" w:sz="4" w:space="0" w:color="auto"/>
            </w:tcBorders>
            <w:noWrap/>
            <w:vAlign w:val="bottom"/>
            <w:hideMark/>
          </w:tcPr>
          <w:p w14:paraId="24DB5627" w14:textId="77777777" w:rsidR="00DE3C06" w:rsidRPr="000C5171" w:rsidRDefault="00DE3C06" w:rsidP="008A49D0">
            <w:pPr>
              <w:spacing w:after="0" w:line="240" w:lineRule="auto"/>
              <w:rPr>
                <w:rFonts w:eastAsia="Times New Roman" w:cs="Calibri"/>
                <w:color w:val="275317" w:themeColor="accent6" w:themeShade="80"/>
                <w:sz w:val="22"/>
                <w:szCs w:val="22"/>
              </w:rPr>
            </w:pPr>
            <w:r w:rsidRPr="000C5171">
              <w:rPr>
                <w:rFonts w:eastAsia="Times New Roman" w:cs="Calibri"/>
                <w:color w:val="275317" w:themeColor="accent6" w:themeShade="80"/>
                <w:sz w:val="22"/>
                <w:szCs w:val="22"/>
              </w:rPr>
              <w:t>Nulidad y Restablecimiento del Derecho</w:t>
            </w:r>
          </w:p>
        </w:tc>
        <w:tc>
          <w:tcPr>
            <w:tcW w:w="1300" w:type="dxa"/>
            <w:tcBorders>
              <w:top w:val="single" w:sz="4" w:space="0" w:color="auto"/>
              <w:left w:val="single" w:sz="4" w:space="0" w:color="auto"/>
              <w:bottom w:val="single" w:sz="4" w:space="0" w:color="auto"/>
              <w:right w:val="single" w:sz="4" w:space="0" w:color="auto"/>
            </w:tcBorders>
            <w:noWrap/>
            <w:vAlign w:val="bottom"/>
            <w:hideMark/>
          </w:tcPr>
          <w:p w14:paraId="0D84EF09" w14:textId="77777777" w:rsidR="00DE3C06" w:rsidRPr="000C5171" w:rsidRDefault="00DE3C06" w:rsidP="008A49D0">
            <w:pPr>
              <w:spacing w:after="0" w:line="240" w:lineRule="auto"/>
              <w:jc w:val="center"/>
              <w:rPr>
                <w:rFonts w:eastAsia="Times New Roman" w:cs="Calibri"/>
                <w:color w:val="275317" w:themeColor="accent6" w:themeShade="80"/>
                <w:sz w:val="22"/>
                <w:szCs w:val="22"/>
              </w:rPr>
            </w:pPr>
            <w:r w:rsidRPr="000C5171">
              <w:rPr>
                <w:rFonts w:eastAsia="Times New Roman" w:cs="Calibri"/>
                <w:color w:val="275317" w:themeColor="accent6" w:themeShade="80"/>
                <w:sz w:val="22"/>
                <w:szCs w:val="22"/>
              </w:rPr>
              <w:t>16</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3FD2F014" w14:textId="77777777" w:rsidR="00DE3C06" w:rsidRPr="000C5171" w:rsidRDefault="00DE3C06" w:rsidP="008A49D0">
            <w:pPr>
              <w:spacing w:after="0" w:line="240" w:lineRule="auto"/>
              <w:jc w:val="center"/>
              <w:rPr>
                <w:rFonts w:eastAsia="Times New Roman" w:cs="Calibri"/>
                <w:color w:val="275317" w:themeColor="accent6" w:themeShade="80"/>
                <w:sz w:val="22"/>
                <w:szCs w:val="22"/>
              </w:rPr>
            </w:pPr>
            <w:r w:rsidRPr="000C5171">
              <w:rPr>
                <w:rFonts w:eastAsia="Times New Roman" w:cs="Calibri"/>
                <w:color w:val="275317" w:themeColor="accent6" w:themeShade="80"/>
                <w:sz w:val="22"/>
                <w:szCs w:val="22"/>
              </w:rPr>
              <w:t>22%</w:t>
            </w:r>
          </w:p>
        </w:tc>
      </w:tr>
      <w:tr w:rsidR="00DE3C06" w:rsidRPr="000C5171" w14:paraId="09CC5670" w14:textId="77777777" w:rsidTr="008A49D0">
        <w:trPr>
          <w:trHeight w:val="1035"/>
          <w:jc w:val="center"/>
        </w:trPr>
        <w:tc>
          <w:tcPr>
            <w:tcW w:w="4120" w:type="dxa"/>
            <w:tcBorders>
              <w:top w:val="single" w:sz="4" w:space="0" w:color="auto"/>
              <w:left w:val="single" w:sz="4" w:space="0" w:color="auto"/>
              <w:bottom w:val="single" w:sz="4" w:space="0" w:color="auto"/>
              <w:right w:val="single" w:sz="4" w:space="0" w:color="auto"/>
            </w:tcBorders>
            <w:vAlign w:val="bottom"/>
            <w:hideMark/>
          </w:tcPr>
          <w:p w14:paraId="340D6901" w14:textId="77777777" w:rsidR="00DE3C06" w:rsidRPr="000C5171" w:rsidRDefault="00DE3C06" w:rsidP="008A49D0">
            <w:pPr>
              <w:spacing w:after="0" w:line="240" w:lineRule="auto"/>
              <w:rPr>
                <w:rFonts w:eastAsia="Times New Roman" w:cs="Calibri"/>
                <w:color w:val="275317" w:themeColor="accent6" w:themeShade="80"/>
                <w:sz w:val="22"/>
                <w:szCs w:val="22"/>
              </w:rPr>
            </w:pPr>
            <w:r w:rsidRPr="000C5171">
              <w:rPr>
                <w:rFonts w:eastAsia="Times New Roman" w:cs="Calibri"/>
                <w:b/>
                <w:bCs/>
                <w:color w:val="275317" w:themeColor="accent6" w:themeShade="80"/>
                <w:sz w:val="22"/>
                <w:szCs w:val="22"/>
              </w:rPr>
              <w:t>Acciones Constitucionales Colectivas</w:t>
            </w:r>
            <w:r w:rsidRPr="000C5171">
              <w:rPr>
                <w:rFonts w:eastAsia="Times New Roman" w:cs="Calibri"/>
                <w:color w:val="275317" w:themeColor="accent6" w:themeShade="80"/>
                <w:sz w:val="22"/>
                <w:szCs w:val="22"/>
              </w:rPr>
              <w:t xml:space="preserve"> </w:t>
            </w:r>
            <w:r w:rsidRPr="000C5171">
              <w:rPr>
                <w:rFonts w:eastAsia="Times New Roman" w:cs="Calibri"/>
                <w:color w:val="275317" w:themeColor="accent6" w:themeShade="80"/>
                <w:sz w:val="18"/>
                <w:szCs w:val="18"/>
              </w:rPr>
              <w:t>(protección de los derechos e intereses colectivos y reparación de los perjuicios causados a un grupo)</w:t>
            </w:r>
          </w:p>
        </w:tc>
        <w:tc>
          <w:tcPr>
            <w:tcW w:w="1300" w:type="dxa"/>
            <w:tcBorders>
              <w:top w:val="single" w:sz="4" w:space="0" w:color="auto"/>
              <w:left w:val="single" w:sz="4" w:space="0" w:color="auto"/>
              <w:bottom w:val="single" w:sz="4" w:space="0" w:color="auto"/>
              <w:right w:val="single" w:sz="4" w:space="0" w:color="auto"/>
            </w:tcBorders>
            <w:noWrap/>
            <w:vAlign w:val="bottom"/>
            <w:hideMark/>
          </w:tcPr>
          <w:p w14:paraId="01821E8A" w14:textId="77777777" w:rsidR="00DE3C06" w:rsidRPr="000C5171" w:rsidRDefault="00DE3C06" w:rsidP="008A49D0">
            <w:pPr>
              <w:spacing w:after="0" w:line="240" w:lineRule="auto"/>
              <w:jc w:val="center"/>
              <w:rPr>
                <w:rFonts w:eastAsia="Times New Roman" w:cs="Calibri"/>
                <w:color w:val="275317" w:themeColor="accent6" w:themeShade="80"/>
                <w:sz w:val="22"/>
                <w:szCs w:val="22"/>
              </w:rPr>
            </w:pPr>
            <w:r w:rsidRPr="000C5171">
              <w:rPr>
                <w:rFonts w:eastAsia="Times New Roman" w:cs="Calibri"/>
                <w:color w:val="275317" w:themeColor="accent6" w:themeShade="80"/>
                <w:sz w:val="22"/>
                <w:szCs w:val="22"/>
              </w:rPr>
              <w:t>5</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77DA3912" w14:textId="77777777" w:rsidR="00DE3C06" w:rsidRPr="000C5171" w:rsidRDefault="00DE3C06" w:rsidP="008A49D0">
            <w:pPr>
              <w:spacing w:after="0" w:line="240" w:lineRule="auto"/>
              <w:jc w:val="center"/>
              <w:rPr>
                <w:rFonts w:eastAsia="Times New Roman" w:cs="Calibri"/>
                <w:color w:val="275317" w:themeColor="accent6" w:themeShade="80"/>
                <w:sz w:val="22"/>
                <w:szCs w:val="22"/>
              </w:rPr>
            </w:pPr>
            <w:r w:rsidRPr="000C5171">
              <w:rPr>
                <w:rFonts w:eastAsia="Times New Roman" w:cs="Calibri"/>
                <w:color w:val="275317" w:themeColor="accent6" w:themeShade="80"/>
                <w:sz w:val="22"/>
                <w:szCs w:val="22"/>
              </w:rPr>
              <w:t>7%</w:t>
            </w:r>
          </w:p>
        </w:tc>
      </w:tr>
      <w:tr w:rsidR="00DE3C06" w:rsidRPr="000C5171" w14:paraId="05785BCF" w14:textId="77777777" w:rsidTr="008A49D0">
        <w:trPr>
          <w:trHeight w:val="510"/>
          <w:jc w:val="center"/>
        </w:trPr>
        <w:tc>
          <w:tcPr>
            <w:tcW w:w="4120" w:type="dxa"/>
            <w:tcBorders>
              <w:top w:val="single" w:sz="4" w:space="0" w:color="auto"/>
              <w:left w:val="single" w:sz="4" w:space="0" w:color="auto"/>
              <w:bottom w:val="single" w:sz="4" w:space="0" w:color="auto"/>
              <w:right w:val="single" w:sz="4" w:space="0" w:color="auto"/>
            </w:tcBorders>
            <w:noWrap/>
            <w:vAlign w:val="bottom"/>
            <w:hideMark/>
          </w:tcPr>
          <w:p w14:paraId="7F1CBF1B" w14:textId="77777777" w:rsidR="00DE3C06" w:rsidRPr="000C5171" w:rsidRDefault="00DE3C06" w:rsidP="008A49D0">
            <w:pPr>
              <w:spacing w:after="0" w:line="240" w:lineRule="auto"/>
              <w:rPr>
                <w:rFonts w:eastAsia="Times New Roman" w:cs="Calibri"/>
                <w:color w:val="275317" w:themeColor="accent6" w:themeShade="80"/>
                <w:sz w:val="22"/>
                <w:szCs w:val="22"/>
              </w:rPr>
            </w:pPr>
            <w:r w:rsidRPr="000C5171">
              <w:rPr>
                <w:rFonts w:eastAsia="Times New Roman" w:cs="Calibri"/>
                <w:color w:val="275317" w:themeColor="accent6" w:themeShade="80"/>
                <w:sz w:val="22"/>
                <w:szCs w:val="22"/>
              </w:rPr>
              <w:t>Controversias Contractuales</w:t>
            </w:r>
          </w:p>
        </w:tc>
        <w:tc>
          <w:tcPr>
            <w:tcW w:w="1300" w:type="dxa"/>
            <w:tcBorders>
              <w:top w:val="single" w:sz="4" w:space="0" w:color="auto"/>
              <w:left w:val="single" w:sz="4" w:space="0" w:color="auto"/>
              <w:bottom w:val="single" w:sz="4" w:space="0" w:color="auto"/>
              <w:right w:val="single" w:sz="4" w:space="0" w:color="auto"/>
            </w:tcBorders>
            <w:noWrap/>
            <w:vAlign w:val="bottom"/>
            <w:hideMark/>
          </w:tcPr>
          <w:p w14:paraId="0CDC6666" w14:textId="77777777" w:rsidR="00DE3C06" w:rsidRPr="000C5171" w:rsidRDefault="00DE3C06" w:rsidP="008A49D0">
            <w:pPr>
              <w:spacing w:after="0" w:line="240" w:lineRule="auto"/>
              <w:jc w:val="center"/>
              <w:rPr>
                <w:rFonts w:eastAsia="Times New Roman" w:cs="Calibri"/>
                <w:color w:val="275317" w:themeColor="accent6" w:themeShade="80"/>
                <w:sz w:val="22"/>
                <w:szCs w:val="22"/>
              </w:rPr>
            </w:pPr>
            <w:r w:rsidRPr="000C5171">
              <w:rPr>
                <w:rFonts w:eastAsia="Times New Roman" w:cs="Calibri"/>
                <w:color w:val="275317" w:themeColor="accent6" w:themeShade="80"/>
                <w:sz w:val="22"/>
                <w:szCs w:val="22"/>
              </w:rPr>
              <w:t>5</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7E5106A1" w14:textId="77777777" w:rsidR="00DE3C06" w:rsidRPr="000C5171" w:rsidRDefault="00DE3C06" w:rsidP="008A49D0">
            <w:pPr>
              <w:spacing w:after="0" w:line="240" w:lineRule="auto"/>
              <w:jc w:val="center"/>
              <w:rPr>
                <w:rFonts w:eastAsia="Times New Roman" w:cs="Calibri"/>
                <w:color w:val="275317" w:themeColor="accent6" w:themeShade="80"/>
                <w:sz w:val="22"/>
                <w:szCs w:val="22"/>
              </w:rPr>
            </w:pPr>
            <w:r w:rsidRPr="000C5171">
              <w:rPr>
                <w:rFonts w:eastAsia="Times New Roman" w:cs="Calibri"/>
                <w:color w:val="275317" w:themeColor="accent6" w:themeShade="80"/>
                <w:sz w:val="22"/>
                <w:szCs w:val="22"/>
              </w:rPr>
              <w:t>7%</w:t>
            </w:r>
          </w:p>
        </w:tc>
      </w:tr>
      <w:tr w:rsidR="00DE3C06" w:rsidRPr="000C5171" w14:paraId="54675DEC" w14:textId="77777777" w:rsidTr="008A49D0">
        <w:trPr>
          <w:trHeight w:val="300"/>
          <w:jc w:val="center"/>
        </w:trPr>
        <w:tc>
          <w:tcPr>
            <w:tcW w:w="4120" w:type="dxa"/>
            <w:tcBorders>
              <w:top w:val="single" w:sz="4" w:space="0" w:color="auto"/>
              <w:left w:val="single" w:sz="4" w:space="0" w:color="auto"/>
              <w:bottom w:val="single" w:sz="4" w:space="0" w:color="auto"/>
              <w:right w:val="single" w:sz="4" w:space="0" w:color="auto"/>
            </w:tcBorders>
            <w:noWrap/>
            <w:vAlign w:val="bottom"/>
            <w:hideMark/>
          </w:tcPr>
          <w:p w14:paraId="7566B77D" w14:textId="77777777" w:rsidR="00DE3C06" w:rsidRPr="000C5171" w:rsidRDefault="00DE3C06" w:rsidP="008A49D0">
            <w:pPr>
              <w:spacing w:after="0" w:line="240" w:lineRule="auto"/>
              <w:rPr>
                <w:rFonts w:eastAsia="Times New Roman" w:cs="Calibri"/>
                <w:color w:val="275317" w:themeColor="accent6" w:themeShade="80"/>
                <w:sz w:val="22"/>
                <w:szCs w:val="22"/>
              </w:rPr>
            </w:pPr>
            <w:r w:rsidRPr="000C5171">
              <w:rPr>
                <w:rFonts w:eastAsia="Times New Roman" w:cs="Calibri"/>
                <w:color w:val="275317" w:themeColor="accent6" w:themeShade="80"/>
                <w:sz w:val="22"/>
                <w:szCs w:val="22"/>
              </w:rPr>
              <w:t>Ejecutivo conexo</w:t>
            </w:r>
          </w:p>
        </w:tc>
        <w:tc>
          <w:tcPr>
            <w:tcW w:w="1300" w:type="dxa"/>
            <w:tcBorders>
              <w:top w:val="single" w:sz="4" w:space="0" w:color="auto"/>
              <w:left w:val="single" w:sz="4" w:space="0" w:color="auto"/>
              <w:bottom w:val="single" w:sz="4" w:space="0" w:color="auto"/>
              <w:right w:val="single" w:sz="4" w:space="0" w:color="auto"/>
            </w:tcBorders>
            <w:noWrap/>
            <w:vAlign w:val="bottom"/>
            <w:hideMark/>
          </w:tcPr>
          <w:p w14:paraId="009A2575" w14:textId="77777777" w:rsidR="00DE3C06" w:rsidRPr="000C5171" w:rsidRDefault="00DE3C06" w:rsidP="008A49D0">
            <w:pPr>
              <w:spacing w:after="0" w:line="240" w:lineRule="auto"/>
              <w:jc w:val="center"/>
              <w:rPr>
                <w:rFonts w:eastAsia="Times New Roman" w:cs="Calibri"/>
                <w:color w:val="275317" w:themeColor="accent6" w:themeShade="80"/>
                <w:sz w:val="22"/>
                <w:szCs w:val="22"/>
              </w:rPr>
            </w:pPr>
            <w:r w:rsidRPr="000C5171">
              <w:rPr>
                <w:rFonts w:eastAsia="Times New Roman" w:cs="Calibri"/>
                <w:color w:val="275317" w:themeColor="accent6" w:themeShade="80"/>
                <w:sz w:val="22"/>
                <w:szCs w:val="22"/>
              </w:rPr>
              <w:t>2</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349BB479" w14:textId="77777777" w:rsidR="00DE3C06" w:rsidRPr="000C5171" w:rsidRDefault="00DE3C06" w:rsidP="008A49D0">
            <w:pPr>
              <w:spacing w:after="0" w:line="240" w:lineRule="auto"/>
              <w:jc w:val="center"/>
              <w:rPr>
                <w:rFonts w:eastAsia="Times New Roman" w:cs="Calibri"/>
                <w:color w:val="275317" w:themeColor="accent6" w:themeShade="80"/>
                <w:sz w:val="22"/>
                <w:szCs w:val="22"/>
              </w:rPr>
            </w:pPr>
            <w:r w:rsidRPr="000C5171">
              <w:rPr>
                <w:rFonts w:eastAsia="Times New Roman" w:cs="Calibri"/>
                <w:color w:val="275317" w:themeColor="accent6" w:themeShade="80"/>
                <w:sz w:val="22"/>
                <w:szCs w:val="22"/>
              </w:rPr>
              <w:t>3%</w:t>
            </w:r>
          </w:p>
        </w:tc>
      </w:tr>
      <w:tr w:rsidR="00DE3C06" w:rsidRPr="000C5171" w14:paraId="6B74DC16" w14:textId="77777777" w:rsidTr="008A49D0">
        <w:trPr>
          <w:trHeight w:val="300"/>
          <w:jc w:val="center"/>
        </w:trPr>
        <w:tc>
          <w:tcPr>
            <w:tcW w:w="4120" w:type="dxa"/>
            <w:tcBorders>
              <w:top w:val="single" w:sz="4" w:space="0" w:color="auto"/>
              <w:left w:val="single" w:sz="4" w:space="0" w:color="auto"/>
              <w:bottom w:val="single" w:sz="4" w:space="0" w:color="auto"/>
              <w:right w:val="single" w:sz="4" w:space="0" w:color="auto"/>
            </w:tcBorders>
            <w:noWrap/>
            <w:vAlign w:val="bottom"/>
            <w:hideMark/>
          </w:tcPr>
          <w:p w14:paraId="1C8B1585" w14:textId="77777777" w:rsidR="00DE3C06" w:rsidRPr="000C5171" w:rsidRDefault="00DE3C06" w:rsidP="008A49D0">
            <w:pPr>
              <w:spacing w:after="0" w:line="240" w:lineRule="auto"/>
              <w:rPr>
                <w:rFonts w:eastAsia="Times New Roman" w:cs="Calibri"/>
                <w:color w:val="275317" w:themeColor="accent6" w:themeShade="80"/>
                <w:sz w:val="22"/>
                <w:szCs w:val="22"/>
              </w:rPr>
            </w:pPr>
            <w:r w:rsidRPr="000C5171">
              <w:rPr>
                <w:rFonts w:eastAsia="Times New Roman" w:cs="Calibri"/>
                <w:color w:val="275317" w:themeColor="accent6" w:themeShade="80"/>
                <w:sz w:val="22"/>
                <w:szCs w:val="22"/>
              </w:rPr>
              <w:t>Acción de Repetición</w:t>
            </w:r>
          </w:p>
        </w:tc>
        <w:tc>
          <w:tcPr>
            <w:tcW w:w="1300" w:type="dxa"/>
            <w:tcBorders>
              <w:top w:val="single" w:sz="4" w:space="0" w:color="auto"/>
              <w:left w:val="single" w:sz="4" w:space="0" w:color="auto"/>
              <w:bottom w:val="single" w:sz="4" w:space="0" w:color="auto"/>
              <w:right w:val="single" w:sz="4" w:space="0" w:color="auto"/>
            </w:tcBorders>
            <w:noWrap/>
            <w:vAlign w:val="bottom"/>
            <w:hideMark/>
          </w:tcPr>
          <w:p w14:paraId="1EC544F8" w14:textId="77777777" w:rsidR="00DE3C06" w:rsidRPr="000C5171" w:rsidRDefault="00DE3C06" w:rsidP="008A49D0">
            <w:pPr>
              <w:spacing w:after="0" w:line="240" w:lineRule="auto"/>
              <w:jc w:val="center"/>
              <w:rPr>
                <w:rFonts w:eastAsia="Times New Roman" w:cs="Calibri"/>
                <w:color w:val="275317" w:themeColor="accent6" w:themeShade="80"/>
                <w:sz w:val="22"/>
                <w:szCs w:val="22"/>
              </w:rPr>
            </w:pPr>
            <w:r w:rsidRPr="000C5171">
              <w:rPr>
                <w:rFonts w:eastAsia="Times New Roman" w:cs="Calibri"/>
                <w:color w:val="275317" w:themeColor="accent6" w:themeShade="80"/>
                <w:sz w:val="22"/>
                <w:szCs w:val="22"/>
              </w:rPr>
              <w:t>1</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10F393AC" w14:textId="77777777" w:rsidR="00DE3C06" w:rsidRPr="000C5171" w:rsidRDefault="00DE3C06" w:rsidP="008A49D0">
            <w:pPr>
              <w:spacing w:after="0" w:line="240" w:lineRule="auto"/>
              <w:jc w:val="center"/>
              <w:rPr>
                <w:rFonts w:eastAsia="Times New Roman" w:cs="Calibri"/>
                <w:color w:val="275317" w:themeColor="accent6" w:themeShade="80"/>
                <w:sz w:val="22"/>
                <w:szCs w:val="22"/>
              </w:rPr>
            </w:pPr>
            <w:r w:rsidRPr="000C5171">
              <w:rPr>
                <w:rFonts w:eastAsia="Times New Roman" w:cs="Calibri"/>
                <w:color w:val="275317" w:themeColor="accent6" w:themeShade="80"/>
                <w:sz w:val="22"/>
                <w:szCs w:val="22"/>
              </w:rPr>
              <w:t>1%</w:t>
            </w:r>
          </w:p>
        </w:tc>
      </w:tr>
      <w:tr w:rsidR="00DE3C06" w:rsidRPr="000C5171" w14:paraId="4A758C4F" w14:textId="77777777" w:rsidTr="008A49D0">
        <w:trPr>
          <w:trHeight w:val="300"/>
          <w:jc w:val="center"/>
        </w:trPr>
        <w:tc>
          <w:tcPr>
            <w:tcW w:w="4120" w:type="dxa"/>
            <w:tcBorders>
              <w:top w:val="single" w:sz="4" w:space="0" w:color="auto"/>
              <w:left w:val="single" w:sz="4" w:space="0" w:color="auto"/>
              <w:bottom w:val="single" w:sz="4" w:space="0" w:color="auto"/>
              <w:right w:val="single" w:sz="4" w:space="0" w:color="auto"/>
            </w:tcBorders>
            <w:noWrap/>
            <w:vAlign w:val="bottom"/>
            <w:hideMark/>
          </w:tcPr>
          <w:p w14:paraId="7D2C3771" w14:textId="77777777" w:rsidR="00DE3C06" w:rsidRPr="000C5171" w:rsidRDefault="00DE3C06" w:rsidP="008A49D0">
            <w:pPr>
              <w:spacing w:after="0" w:line="240" w:lineRule="auto"/>
              <w:rPr>
                <w:rFonts w:eastAsia="Times New Roman" w:cs="Calibri"/>
                <w:color w:val="275317" w:themeColor="accent6" w:themeShade="80"/>
                <w:sz w:val="22"/>
                <w:szCs w:val="22"/>
              </w:rPr>
            </w:pPr>
            <w:r w:rsidRPr="000C5171">
              <w:rPr>
                <w:rFonts w:eastAsia="Times New Roman" w:cs="Calibri"/>
                <w:color w:val="275317" w:themeColor="accent6" w:themeShade="80"/>
                <w:sz w:val="22"/>
                <w:szCs w:val="22"/>
              </w:rPr>
              <w:t>Nulidad simple</w:t>
            </w:r>
          </w:p>
        </w:tc>
        <w:tc>
          <w:tcPr>
            <w:tcW w:w="1300" w:type="dxa"/>
            <w:tcBorders>
              <w:top w:val="single" w:sz="4" w:space="0" w:color="auto"/>
              <w:left w:val="single" w:sz="4" w:space="0" w:color="auto"/>
              <w:bottom w:val="single" w:sz="4" w:space="0" w:color="auto"/>
              <w:right w:val="single" w:sz="4" w:space="0" w:color="auto"/>
            </w:tcBorders>
            <w:noWrap/>
            <w:vAlign w:val="bottom"/>
            <w:hideMark/>
          </w:tcPr>
          <w:p w14:paraId="2457E935" w14:textId="77777777" w:rsidR="00DE3C06" w:rsidRPr="000C5171" w:rsidRDefault="00DE3C06" w:rsidP="008A49D0">
            <w:pPr>
              <w:spacing w:after="0" w:line="240" w:lineRule="auto"/>
              <w:jc w:val="center"/>
              <w:rPr>
                <w:rFonts w:eastAsia="Times New Roman" w:cs="Calibri"/>
                <w:color w:val="275317" w:themeColor="accent6" w:themeShade="80"/>
                <w:sz w:val="22"/>
                <w:szCs w:val="22"/>
              </w:rPr>
            </w:pPr>
            <w:r w:rsidRPr="000C5171">
              <w:rPr>
                <w:rFonts w:eastAsia="Times New Roman" w:cs="Calibri"/>
                <w:color w:val="275317" w:themeColor="accent6" w:themeShade="80"/>
                <w:sz w:val="22"/>
                <w:szCs w:val="22"/>
              </w:rPr>
              <w:t>1</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5B9A532B" w14:textId="77777777" w:rsidR="00DE3C06" w:rsidRPr="000C5171" w:rsidRDefault="00DE3C06" w:rsidP="008A49D0">
            <w:pPr>
              <w:spacing w:after="0" w:line="240" w:lineRule="auto"/>
              <w:jc w:val="center"/>
              <w:rPr>
                <w:rFonts w:eastAsia="Times New Roman" w:cs="Calibri"/>
                <w:color w:val="275317" w:themeColor="accent6" w:themeShade="80"/>
                <w:sz w:val="22"/>
                <w:szCs w:val="22"/>
              </w:rPr>
            </w:pPr>
            <w:r w:rsidRPr="000C5171">
              <w:rPr>
                <w:rFonts w:eastAsia="Times New Roman" w:cs="Calibri"/>
                <w:color w:val="275317" w:themeColor="accent6" w:themeShade="80"/>
                <w:sz w:val="22"/>
                <w:szCs w:val="22"/>
              </w:rPr>
              <w:t>1%</w:t>
            </w:r>
          </w:p>
        </w:tc>
      </w:tr>
      <w:tr w:rsidR="00DE3C06" w:rsidRPr="000C5171" w14:paraId="33C67957" w14:textId="77777777" w:rsidTr="008A49D0">
        <w:trPr>
          <w:trHeight w:val="300"/>
          <w:jc w:val="center"/>
        </w:trPr>
        <w:tc>
          <w:tcPr>
            <w:tcW w:w="4120" w:type="dxa"/>
            <w:tcBorders>
              <w:top w:val="single" w:sz="4" w:space="0" w:color="auto"/>
              <w:left w:val="single" w:sz="4" w:space="0" w:color="auto"/>
              <w:bottom w:val="single" w:sz="4" w:space="0" w:color="auto"/>
              <w:right w:val="single" w:sz="4" w:space="0" w:color="auto"/>
            </w:tcBorders>
            <w:noWrap/>
            <w:vAlign w:val="bottom"/>
            <w:hideMark/>
          </w:tcPr>
          <w:p w14:paraId="1A949DED" w14:textId="77777777" w:rsidR="00DE3C06" w:rsidRPr="000C5171" w:rsidRDefault="00DE3C06" w:rsidP="008A49D0">
            <w:pPr>
              <w:spacing w:after="0" w:line="240" w:lineRule="auto"/>
              <w:jc w:val="right"/>
              <w:rPr>
                <w:rFonts w:eastAsia="Times New Roman" w:cs="Calibri"/>
                <w:b/>
                <w:bCs/>
                <w:color w:val="275317" w:themeColor="accent6" w:themeShade="80"/>
                <w:sz w:val="22"/>
                <w:szCs w:val="22"/>
              </w:rPr>
            </w:pPr>
            <w:r w:rsidRPr="000C5171">
              <w:rPr>
                <w:rFonts w:eastAsia="Times New Roman" w:cs="Calibri"/>
                <w:b/>
                <w:bCs/>
                <w:color w:val="275317" w:themeColor="accent6" w:themeShade="80"/>
                <w:sz w:val="22"/>
                <w:szCs w:val="22"/>
              </w:rPr>
              <w:t>Total</w:t>
            </w:r>
          </w:p>
        </w:tc>
        <w:tc>
          <w:tcPr>
            <w:tcW w:w="1300" w:type="dxa"/>
            <w:tcBorders>
              <w:top w:val="single" w:sz="4" w:space="0" w:color="auto"/>
              <w:left w:val="single" w:sz="4" w:space="0" w:color="auto"/>
              <w:bottom w:val="single" w:sz="4" w:space="0" w:color="auto"/>
              <w:right w:val="single" w:sz="4" w:space="0" w:color="auto"/>
            </w:tcBorders>
            <w:noWrap/>
            <w:vAlign w:val="bottom"/>
            <w:hideMark/>
          </w:tcPr>
          <w:p w14:paraId="527B3DCD" w14:textId="77777777" w:rsidR="00DE3C06" w:rsidRPr="000C5171" w:rsidRDefault="00DE3C06" w:rsidP="008A49D0">
            <w:pPr>
              <w:spacing w:after="0" w:line="240" w:lineRule="auto"/>
              <w:jc w:val="center"/>
              <w:rPr>
                <w:rFonts w:eastAsia="Times New Roman" w:cs="Calibri"/>
                <w:b/>
                <w:bCs/>
                <w:color w:val="275317" w:themeColor="accent6" w:themeShade="80"/>
                <w:sz w:val="22"/>
                <w:szCs w:val="22"/>
              </w:rPr>
            </w:pPr>
            <w:r w:rsidRPr="000C5171">
              <w:rPr>
                <w:rFonts w:eastAsia="Times New Roman" w:cs="Calibri"/>
                <w:b/>
                <w:bCs/>
                <w:color w:val="275317" w:themeColor="accent6" w:themeShade="80"/>
                <w:sz w:val="22"/>
                <w:szCs w:val="22"/>
              </w:rPr>
              <w:t>72</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5CFEBDDC" w14:textId="77777777" w:rsidR="00DE3C06" w:rsidRPr="000C5171" w:rsidRDefault="00DE3C06" w:rsidP="008A49D0">
            <w:pPr>
              <w:spacing w:after="0" w:line="240" w:lineRule="auto"/>
              <w:jc w:val="center"/>
              <w:rPr>
                <w:rFonts w:eastAsia="Times New Roman" w:cs="Calibri"/>
                <w:b/>
                <w:bCs/>
                <w:color w:val="275317" w:themeColor="accent6" w:themeShade="80"/>
                <w:sz w:val="22"/>
                <w:szCs w:val="22"/>
              </w:rPr>
            </w:pPr>
            <w:r w:rsidRPr="000C5171">
              <w:rPr>
                <w:rFonts w:eastAsia="Times New Roman" w:cs="Calibri"/>
                <w:b/>
                <w:bCs/>
                <w:color w:val="275317" w:themeColor="accent6" w:themeShade="80"/>
                <w:sz w:val="22"/>
                <w:szCs w:val="22"/>
              </w:rPr>
              <w:t>100%</w:t>
            </w:r>
          </w:p>
        </w:tc>
      </w:tr>
    </w:tbl>
    <w:p w14:paraId="6029BEF8" w14:textId="77777777" w:rsidR="00DE3C06" w:rsidRPr="000C5171" w:rsidRDefault="00DE3C06" w:rsidP="00DE3C06">
      <w:pPr>
        <w:spacing w:after="0" w:line="276" w:lineRule="auto"/>
        <w:jc w:val="both"/>
        <w:rPr>
          <w:rFonts w:cs="Tahoma"/>
          <w:sz w:val="22"/>
          <w:szCs w:val="22"/>
        </w:rPr>
      </w:pPr>
    </w:p>
    <w:p w14:paraId="3C900B0F" w14:textId="77777777" w:rsidR="00DE3C06" w:rsidRPr="000C5171" w:rsidRDefault="00DE3C06" w:rsidP="00DE3C06">
      <w:pPr>
        <w:spacing w:after="0" w:line="276" w:lineRule="auto"/>
        <w:jc w:val="both"/>
        <w:rPr>
          <w:rFonts w:cs="Tahoma"/>
          <w:bCs/>
          <w:sz w:val="22"/>
          <w:szCs w:val="22"/>
        </w:rPr>
      </w:pPr>
      <w:r w:rsidRPr="000C5171">
        <w:rPr>
          <w:rFonts w:cs="Tahoma"/>
          <w:bCs/>
          <w:sz w:val="22"/>
          <w:szCs w:val="22"/>
        </w:rPr>
        <w:t>El detalle de cada uno de los procesos relacionados con número del radicado, despacho, calidad en la que comparecemos (demandante o demandado), nombre del demandante, Instancia procesal, probabilidad de perder el caso, valor provisión contable, valor de contingencia y estado del proceso, calificación del riesgo, entre otras, se encuentra en el documento Excel denominado</w:t>
      </w:r>
      <w:r w:rsidRPr="000C5171">
        <w:rPr>
          <w:rFonts w:cs="Tahoma"/>
          <w:i/>
          <w:iCs/>
          <w:sz w:val="22"/>
          <w:szCs w:val="22"/>
        </w:rPr>
        <w:t xml:space="preserve"> </w:t>
      </w:r>
      <w:r w:rsidRPr="000C5171">
        <w:rPr>
          <w:rFonts w:cs="Tahoma"/>
          <w:bCs/>
          <w:i/>
          <w:iCs/>
          <w:sz w:val="22"/>
          <w:szCs w:val="22"/>
        </w:rPr>
        <w:t>Procesos judiciales 1_7_2026”</w:t>
      </w:r>
      <w:r w:rsidRPr="000C5171">
        <w:rPr>
          <w:rFonts w:cs="Tahoma"/>
          <w:bCs/>
          <w:sz w:val="22"/>
          <w:szCs w:val="22"/>
        </w:rPr>
        <w:t xml:space="preserve"> </w:t>
      </w:r>
      <w:r w:rsidRPr="000C5171">
        <w:rPr>
          <w:rFonts w:cs="Tahoma"/>
          <w:b/>
          <w:bCs/>
          <w:sz w:val="22"/>
          <w:szCs w:val="22"/>
        </w:rPr>
        <w:t>(ANEXO 29.A)</w:t>
      </w:r>
      <w:r w:rsidRPr="000C5171">
        <w:rPr>
          <w:rFonts w:cs="Tahoma"/>
          <w:bCs/>
          <w:sz w:val="22"/>
          <w:szCs w:val="22"/>
        </w:rPr>
        <w:t xml:space="preserve"> que se adjunta al informe.</w:t>
      </w:r>
    </w:p>
    <w:p w14:paraId="7D05058E" w14:textId="77777777" w:rsidR="00DE3C06" w:rsidRPr="000C5171" w:rsidRDefault="00DE3C06" w:rsidP="00DE3C06">
      <w:pPr>
        <w:spacing w:after="0" w:line="276" w:lineRule="auto"/>
        <w:jc w:val="both"/>
        <w:rPr>
          <w:rFonts w:cs="Tahoma"/>
          <w:sz w:val="22"/>
          <w:szCs w:val="22"/>
        </w:rPr>
      </w:pPr>
    </w:p>
    <w:p w14:paraId="44B300E3" w14:textId="77777777" w:rsidR="00DE3C06" w:rsidRPr="000C5171" w:rsidRDefault="00DE3C06">
      <w:pPr>
        <w:pStyle w:val="Prrafodelista"/>
        <w:numPr>
          <w:ilvl w:val="0"/>
          <w:numId w:val="13"/>
        </w:numPr>
        <w:spacing w:after="0" w:line="276" w:lineRule="auto"/>
        <w:jc w:val="both"/>
        <w:rPr>
          <w:rFonts w:cs="Tahoma"/>
          <w:b/>
          <w:bCs/>
          <w:sz w:val="22"/>
          <w:szCs w:val="22"/>
        </w:rPr>
      </w:pPr>
      <w:r w:rsidRPr="000C5171">
        <w:rPr>
          <w:rFonts w:cs="Arial"/>
          <w:sz w:val="22"/>
          <w:szCs w:val="22"/>
        </w:rPr>
        <w:t xml:space="preserve"> </w:t>
      </w:r>
      <w:r w:rsidRPr="000C5171">
        <w:rPr>
          <w:rFonts w:cs="Arial"/>
          <w:b/>
          <w:bCs/>
          <w:sz w:val="22"/>
          <w:szCs w:val="22"/>
        </w:rPr>
        <w:t>Relación de Pagos</w:t>
      </w:r>
    </w:p>
    <w:p w14:paraId="2235D850" w14:textId="77777777" w:rsidR="00DE3C06" w:rsidRPr="000C5171" w:rsidRDefault="00DE3C06" w:rsidP="00DE3C06">
      <w:pPr>
        <w:spacing w:after="0" w:line="276" w:lineRule="auto"/>
        <w:jc w:val="both"/>
        <w:rPr>
          <w:rFonts w:cs="Tahoma"/>
          <w:sz w:val="22"/>
          <w:szCs w:val="22"/>
        </w:rPr>
      </w:pPr>
      <w:r w:rsidRPr="000C5171">
        <w:rPr>
          <w:rFonts w:cs="Tahoma"/>
          <w:sz w:val="22"/>
          <w:szCs w:val="22"/>
        </w:rPr>
        <w:t xml:space="preserve">Respecto de los ítems valor y fecha de pago de los créditos judiciales se adjunta el documento Excel: </w:t>
      </w:r>
      <w:r w:rsidRPr="000C5171">
        <w:rPr>
          <w:rFonts w:cs="Tahoma"/>
          <w:i/>
          <w:iCs/>
          <w:sz w:val="22"/>
          <w:szCs w:val="22"/>
        </w:rPr>
        <w:t>“Pagos GIT Financiera 2022-2026”</w:t>
      </w:r>
      <w:r w:rsidRPr="000C5171">
        <w:rPr>
          <w:rFonts w:cs="Tahoma"/>
          <w:sz w:val="22"/>
          <w:szCs w:val="22"/>
        </w:rPr>
        <w:t xml:space="preserve"> </w:t>
      </w:r>
      <w:r w:rsidRPr="000C5171">
        <w:rPr>
          <w:rFonts w:cs="Tahoma"/>
          <w:b/>
          <w:bCs/>
          <w:sz w:val="22"/>
          <w:szCs w:val="22"/>
        </w:rPr>
        <w:t>(ANEXO 29.B)</w:t>
      </w:r>
      <w:r w:rsidRPr="000C5171">
        <w:rPr>
          <w:rFonts w:cs="Tahoma"/>
          <w:sz w:val="22"/>
          <w:szCs w:val="22"/>
        </w:rPr>
        <w:t>, según información reportada por el Grupo Interno de Trabajo de Financiera, los cuales se relacionan a continuación:</w:t>
      </w:r>
    </w:p>
    <w:p w14:paraId="06B8325C" w14:textId="77777777" w:rsidR="00DE3C06" w:rsidRPr="000C5171" w:rsidRDefault="00DE3C06" w:rsidP="00DE3C06">
      <w:pPr>
        <w:spacing w:line="276" w:lineRule="auto"/>
        <w:jc w:val="center"/>
        <w:rPr>
          <w:rFonts w:cs="Arial"/>
          <w:b/>
          <w:bCs/>
          <w:sz w:val="22"/>
          <w:szCs w:val="22"/>
        </w:rPr>
      </w:pPr>
    </w:p>
    <w:p w14:paraId="637096DC" w14:textId="77777777" w:rsidR="00DE3C06" w:rsidRPr="000C5171" w:rsidRDefault="00DE3C06" w:rsidP="00DE3C06">
      <w:pPr>
        <w:spacing w:line="276" w:lineRule="auto"/>
        <w:jc w:val="center"/>
        <w:rPr>
          <w:rFonts w:cs="Arial"/>
          <w:sz w:val="22"/>
          <w:szCs w:val="22"/>
        </w:rPr>
      </w:pPr>
      <w:r w:rsidRPr="000C5171">
        <w:rPr>
          <w:rFonts w:cs="Arial"/>
          <w:b/>
          <w:bCs/>
          <w:sz w:val="22"/>
          <w:szCs w:val="22"/>
        </w:rPr>
        <w:t xml:space="preserve">             Tabla 16. </w:t>
      </w:r>
      <w:r w:rsidRPr="000C5171">
        <w:rPr>
          <w:rFonts w:cs="Arial"/>
          <w:sz w:val="22"/>
          <w:szCs w:val="22"/>
        </w:rPr>
        <w:t>Acciones Judiciales, B Relación De Pagos</w:t>
      </w:r>
    </w:p>
    <w:tbl>
      <w:tblPr>
        <w:tblW w:w="6921" w:type="dxa"/>
        <w:jc w:val="center"/>
        <w:tblBorders>
          <w:top w:val="single" w:sz="4" w:space="0" w:color="FFC000"/>
          <w:left w:val="single" w:sz="4" w:space="0" w:color="FFC000"/>
          <w:bottom w:val="single" w:sz="4" w:space="0" w:color="FFC000"/>
          <w:right w:val="single" w:sz="4" w:space="0" w:color="FFC000"/>
          <w:insideH w:val="single" w:sz="4" w:space="0" w:color="FFC000"/>
          <w:insideV w:val="single" w:sz="4" w:space="0" w:color="FFC000"/>
        </w:tblBorders>
        <w:tblCellMar>
          <w:left w:w="70" w:type="dxa"/>
          <w:right w:w="70" w:type="dxa"/>
        </w:tblCellMar>
        <w:tblLook w:val="04A0" w:firstRow="1" w:lastRow="0" w:firstColumn="1" w:lastColumn="0" w:noHBand="0" w:noVBand="1"/>
      </w:tblPr>
      <w:tblGrid>
        <w:gridCol w:w="1318"/>
        <w:gridCol w:w="3367"/>
        <w:gridCol w:w="2236"/>
      </w:tblGrid>
      <w:tr w:rsidR="00DE3C06" w:rsidRPr="000C5171" w14:paraId="693CE0DB" w14:textId="77777777" w:rsidTr="008A49D0">
        <w:trPr>
          <w:trHeight w:val="226"/>
          <w:jc w:val="center"/>
        </w:trPr>
        <w:tc>
          <w:tcPr>
            <w:tcW w:w="6921" w:type="dxa"/>
            <w:gridSpan w:val="3"/>
            <w:tcBorders>
              <w:top w:val="single" w:sz="4" w:space="0" w:color="auto"/>
              <w:left w:val="single" w:sz="4" w:space="0" w:color="auto"/>
              <w:bottom w:val="single" w:sz="4" w:space="0" w:color="auto"/>
              <w:right w:val="single" w:sz="4" w:space="0" w:color="auto"/>
            </w:tcBorders>
            <w:shd w:val="clear" w:color="auto" w:fill="C1F0C7"/>
            <w:noWrap/>
            <w:vAlign w:val="bottom"/>
          </w:tcPr>
          <w:p w14:paraId="715872E6" w14:textId="77777777" w:rsidR="00DE3C06" w:rsidRPr="000C5171" w:rsidRDefault="00DE3C06" w:rsidP="008A49D0">
            <w:pPr>
              <w:spacing w:after="0" w:line="240" w:lineRule="auto"/>
              <w:jc w:val="center"/>
              <w:rPr>
                <w:rFonts w:eastAsia="Times New Roman" w:cs="Arial"/>
                <w:b/>
                <w:bCs/>
                <w:color w:val="124F1A" w:themeColor="accent3" w:themeShade="BF"/>
                <w:sz w:val="20"/>
                <w:szCs w:val="20"/>
                <w:lang w:eastAsia="es-CO"/>
              </w:rPr>
            </w:pPr>
            <w:bookmarkStart w:id="48" w:name="_Hlk230271236"/>
            <w:r w:rsidRPr="000C5171">
              <w:rPr>
                <w:rFonts w:eastAsia="Times New Roman" w:cs="Arial"/>
                <w:b/>
                <w:bCs/>
                <w:color w:val="124F1A" w:themeColor="accent3" w:themeShade="BF"/>
                <w:sz w:val="20"/>
                <w:szCs w:val="20"/>
                <w:lang w:eastAsia="es-CO"/>
              </w:rPr>
              <w:lastRenderedPageBreak/>
              <w:t>Relación de pagos ART por vigencia</w:t>
            </w:r>
          </w:p>
        </w:tc>
      </w:tr>
      <w:tr w:rsidR="00DE3C06" w:rsidRPr="000C5171" w14:paraId="06DFE3EF" w14:textId="77777777" w:rsidTr="008A49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90"/>
          <w:jc w:val="center"/>
        </w:trPr>
        <w:tc>
          <w:tcPr>
            <w:tcW w:w="1318" w:type="dxa"/>
            <w:tcBorders>
              <w:top w:val="single" w:sz="4" w:space="0" w:color="auto"/>
              <w:left w:val="single" w:sz="4" w:space="0" w:color="auto"/>
              <w:bottom w:val="single" w:sz="4" w:space="0" w:color="auto"/>
              <w:right w:val="single" w:sz="4" w:space="0" w:color="auto"/>
            </w:tcBorders>
            <w:shd w:val="clear" w:color="auto" w:fill="C1F0C7" w:themeFill="accent3" w:themeFillTint="33"/>
            <w:noWrap/>
            <w:vAlign w:val="center"/>
            <w:hideMark/>
          </w:tcPr>
          <w:p w14:paraId="5F8B22C6" w14:textId="77777777" w:rsidR="00DE3C06" w:rsidRPr="000C5171" w:rsidRDefault="00DE3C06" w:rsidP="008A49D0">
            <w:pPr>
              <w:spacing w:after="0" w:line="240" w:lineRule="auto"/>
              <w:jc w:val="center"/>
              <w:rPr>
                <w:rFonts w:eastAsia="Times New Roman" w:cs="Arial"/>
                <w:b/>
                <w:bCs/>
                <w:color w:val="124F1A" w:themeColor="accent3" w:themeShade="BF"/>
                <w:sz w:val="20"/>
                <w:szCs w:val="20"/>
                <w:lang w:eastAsia="es-CO"/>
              </w:rPr>
            </w:pPr>
            <w:r w:rsidRPr="000C5171">
              <w:rPr>
                <w:rFonts w:eastAsia="Times New Roman" w:cs="Arial"/>
                <w:b/>
                <w:bCs/>
                <w:color w:val="124F1A" w:themeColor="accent3" w:themeShade="BF"/>
                <w:sz w:val="20"/>
                <w:szCs w:val="20"/>
                <w:lang w:eastAsia="es-CO"/>
              </w:rPr>
              <w:t>Año</w:t>
            </w:r>
          </w:p>
        </w:tc>
        <w:tc>
          <w:tcPr>
            <w:tcW w:w="3367" w:type="dxa"/>
            <w:tcBorders>
              <w:top w:val="single" w:sz="4" w:space="0" w:color="auto"/>
              <w:left w:val="nil"/>
              <w:bottom w:val="single" w:sz="4" w:space="0" w:color="auto"/>
              <w:right w:val="single" w:sz="4" w:space="0" w:color="auto"/>
            </w:tcBorders>
            <w:shd w:val="clear" w:color="auto" w:fill="C1F0C7" w:themeFill="accent3" w:themeFillTint="33"/>
            <w:vAlign w:val="center"/>
            <w:hideMark/>
          </w:tcPr>
          <w:p w14:paraId="77C1F160" w14:textId="77777777" w:rsidR="00DE3C06" w:rsidRPr="000C5171" w:rsidRDefault="00DE3C06" w:rsidP="008A49D0">
            <w:pPr>
              <w:spacing w:after="0" w:line="240" w:lineRule="auto"/>
              <w:jc w:val="center"/>
              <w:rPr>
                <w:rFonts w:eastAsia="Times New Roman" w:cs="Arial"/>
                <w:b/>
                <w:bCs/>
                <w:color w:val="124F1A" w:themeColor="accent3" w:themeShade="BF"/>
                <w:sz w:val="20"/>
                <w:szCs w:val="20"/>
                <w:lang w:eastAsia="es-CO"/>
              </w:rPr>
            </w:pPr>
            <w:r w:rsidRPr="000C5171">
              <w:rPr>
                <w:rFonts w:eastAsia="Times New Roman" w:cs="Arial"/>
                <w:b/>
                <w:bCs/>
                <w:color w:val="124F1A" w:themeColor="accent3" w:themeShade="BF"/>
                <w:sz w:val="20"/>
                <w:szCs w:val="20"/>
                <w:lang w:eastAsia="es-CO"/>
              </w:rPr>
              <w:t xml:space="preserve">Créditos judiciales pagados </w:t>
            </w:r>
          </w:p>
        </w:tc>
        <w:tc>
          <w:tcPr>
            <w:tcW w:w="2235" w:type="dxa"/>
            <w:tcBorders>
              <w:top w:val="single" w:sz="4" w:space="0" w:color="auto"/>
              <w:left w:val="nil"/>
              <w:bottom w:val="single" w:sz="4" w:space="0" w:color="auto"/>
              <w:right w:val="single" w:sz="4" w:space="0" w:color="auto"/>
            </w:tcBorders>
            <w:shd w:val="clear" w:color="auto" w:fill="C1F0C7" w:themeFill="accent3" w:themeFillTint="33"/>
            <w:noWrap/>
            <w:vAlign w:val="center"/>
            <w:hideMark/>
          </w:tcPr>
          <w:p w14:paraId="6655DBD8" w14:textId="77777777" w:rsidR="00DE3C06" w:rsidRPr="000C5171" w:rsidRDefault="00DE3C06" w:rsidP="008A49D0">
            <w:pPr>
              <w:spacing w:after="0" w:line="240" w:lineRule="auto"/>
              <w:jc w:val="center"/>
              <w:rPr>
                <w:rFonts w:eastAsia="Times New Roman" w:cs="Arial"/>
                <w:b/>
                <w:bCs/>
                <w:color w:val="124F1A" w:themeColor="accent3" w:themeShade="BF"/>
                <w:sz w:val="20"/>
                <w:szCs w:val="20"/>
                <w:lang w:eastAsia="es-CO"/>
              </w:rPr>
            </w:pPr>
            <w:r w:rsidRPr="000C5171">
              <w:rPr>
                <w:rFonts w:eastAsia="Times New Roman" w:cs="Arial"/>
                <w:b/>
                <w:bCs/>
                <w:color w:val="124F1A" w:themeColor="accent3" w:themeShade="BF"/>
                <w:sz w:val="20"/>
                <w:szCs w:val="20"/>
                <w:lang w:eastAsia="es-CO"/>
              </w:rPr>
              <w:t>Pendientes</w:t>
            </w:r>
          </w:p>
        </w:tc>
      </w:tr>
      <w:tr w:rsidR="00DE3C06" w:rsidRPr="000C5171" w14:paraId="23982E27" w14:textId="77777777" w:rsidTr="008A49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6"/>
          <w:jc w:val="center"/>
        </w:trPr>
        <w:tc>
          <w:tcPr>
            <w:tcW w:w="1318" w:type="dxa"/>
            <w:tcBorders>
              <w:top w:val="nil"/>
              <w:left w:val="single" w:sz="4" w:space="0" w:color="auto"/>
              <w:bottom w:val="single" w:sz="4" w:space="0" w:color="auto"/>
              <w:right w:val="single" w:sz="4" w:space="0" w:color="auto"/>
            </w:tcBorders>
            <w:noWrap/>
            <w:vAlign w:val="bottom"/>
            <w:hideMark/>
          </w:tcPr>
          <w:p w14:paraId="563801F8" w14:textId="77777777" w:rsidR="00DE3C06" w:rsidRPr="000C5171" w:rsidRDefault="00DE3C06" w:rsidP="008A49D0">
            <w:pPr>
              <w:spacing w:after="0" w:line="240" w:lineRule="auto"/>
              <w:jc w:val="center"/>
              <w:rPr>
                <w:rFonts w:eastAsia="Times New Roman" w:cs="Arial"/>
                <w:color w:val="124F1A" w:themeColor="accent3" w:themeShade="BF"/>
                <w:sz w:val="20"/>
                <w:szCs w:val="20"/>
                <w:lang w:eastAsia="es-CO"/>
              </w:rPr>
            </w:pPr>
            <w:r w:rsidRPr="000C5171">
              <w:rPr>
                <w:rFonts w:eastAsia="Times New Roman" w:cs="Arial"/>
                <w:color w:val="124F1A" w:themeColor="accent3" w:themeShade="BF"/>
                <w:sz w:val="20"/>
                <w:szCs w:val="20"/>
                <w:lang w:eastAsia="es-CO"/>
              </w:rPr>
              <w:t>2022*</w:t>
            </w:r>
          </w:p>
        </w:tc>
        <w:tc>
          <w:tcPr>
            <w:tcW w:w="3367" w:type="dxa"/>
            <w:tcBorders>
              <w:top w:val="nil"/>
              <w:left w:val="nil"/>
              <w:bottom w:val="single" w:sz="4" w:space="0" w:color="auto"/>
              <w:right w:val="single" w:sz="4" w:space="0" w:color="auto"/>
            </w:tcBorders>
            <w:noWrap/>
            <w:vAlign w:val="bottom"/>
            <w:hideMark/>
          </w:tcPr>
          <w:p w14:paraId="3DB05F23" w14:textId="77777777" w:rsidR="00DE3C06" w:rsidRPr="000C5171" w:rsidRDefault="00DE3C06" w:rsidP="008A49D0">
            <w:pPr>
              <w:spacing w:after="0" w:line="240" w:lineRule="auto"/>
              <w:jc w:val="center"/>
              <w:rPr>
                <w:rFonts w:eastAsia="Times New Roman" w:cs="Arial"/>
                <w:color w:val="124F1A" w:themeColor="accent3" w:themeShade="BF"/>
                <w:sz w:val="20"/>
                <w:szCs w:val="20"/>
                <w:lang w:eastAsia="es-CO"/>
              </w:rPr>
            </w:pPr>
            <w:r w:rsidRPr="000C5171">
              <w:rPr>
                <w:rFonts w:eastAsia="Times New Roman" w:cs="Arial"/>
                <w:color w:val="124F1A" w:themeColor="accent3" w:themeShade="BF"/>
                <w:sz w:val="20"/>
                <w:szCs w:val="20"/>
                <w:lang w:eastAsia="es-CO"/>
              </w:rPr>
              <w:t>3</w:t>
            </w:r>
          </w:p>
        </w:tc>
        <w:tc>
          <w:tcPr>
            <w:tcW w:w="2235" w:type="dxa"/>
            <w:tcBorders>
              <w:top w:val="nil"/>
              <w:left w:val="nil"/>
              <w:bottom w:val="single" w:sz="4" w:space="0" w:color="auto"/>
              <w:right w:val="single" w:sz="4" w:space="0" w:color="auto"/>
            </w:tcBorders>
            <w:noWrap/>
            <w:vAlign w:val="bottom"/>
            <w:hideMark/>
          </w:tcPr>
          <w:p w14:paraId="323E859A" w14:textId="77777777" w:rsidR="00DE3C06" w:rsidRPr="000C5171" w:rsidRDefault="00DE3C06" w:rsidP="008A49D0">
            <w:pPr>
              <w:spacing w:after="0" w:line="240" w:lineRule="auto"/>
              <w:jc w:val="center"/>
              <w:rPr>
                <w:rFonts w:eastAsia="Times New Roman" w:cs="Arial"/>
                <w:color w:val="124F1A" w:themeColor="accent3" w:themeShade="BF"/>
                <w:sz w:val="20"/>
                <w:szCs w:val="20"/>
                <w:lang w:eastAsia="es-CO"/>
              </w:rPr>
            </w:pPr>
            <w:r w:rsidRPr="000C5171">
              <w:rPr>
                <w:rFonts w:eastAsia="Times New Roman" w:cs="Arial"/>
                <w:color w:val="124F1A" w:themeColor="accent3" w:themeShade="BF"/>
                <w:sz w:val="20"/>
                <w:szCs w:val="20"/>
                <w:lang w:eastAsia="es-CO"/>
              </w:rPr>
              <w:t>0</w:t>
            </w:r>
          </w:p>
        </w:tc>
      </w:tr>
      <w:tr w:rsidR="00DE3C06" w:rsidRPr="000C5171" w14:paraId="4707ABE1" w14:textId="77777777" w:rsidTr="008A49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6"/>
          <w:jc w:val="center"/>
        </w:trPr>
        <w:tc>
          <w:tcPr>
            <w:tcW w:w="1318" w:type="dxa"/>
            <w:tcBorders>
              <w:top w:val="nil"/>
              <w:left w:val="single" w:sz="4" w:space="0" w:color="auto"/>
              <w:bottom w:val="single" w:sz="4" w:space="0" w:color="auto"/>
              <w:right w:val="single" w:sz="4" w:space="0" w:color="auto"/>
            </w:tcBorders>
            <w:noWrap/>
            <w:vAlign w:val="bottom"/>
            <w:hideMark/>
          </w:tcPr>
          <w:p w14:paraId="202F5367" w14:textId="77777777" w:rsidR="00DE3C06" w:rsidRPr="000C5171" w:rsidRDefault="00DE3C06" w:rsidP="008A49D0">
            <w:pPr>
              <w:spacing w:after="0" w:line="240" w:lineRule="auto"/>
              <w:jc w:val="center"/>
              <w:rPr>
                <w:rFonts w:eastAsia="Times New Roman" w:cs="Arial"/>
                <w:color w:val="124F1A" w:themeColor="accent3" w:themeShade="BF"/>
                <w:sz w:val="20"/>
                <w:szCs w:val="20"/>
                <w:lang w:eastAsia="es-CO"/>
              </w:rPr>
            </w:pPr>
            <w:r w:rsidRPr="000C5171">
              <w:rPr>
                <w:rFonts w:eastAsia="Times New Roman" w:cs="Arial"/>
                <w:color w:val="124F1A" w:themeColor="accent3" w:themeShade="BF"/>
                <w:sz w:val="20"/>
                <w:szCs w:val="20"/>
                <w:lang w:eastAsia="es-CO"/>
              </w:rPr>
              <w:t>2023</w:t>
            </w:r>
          </w:p>
        </w:tc>
        <w:tc>
          <w:tcPr>
            <w:tcW w:w="3367" w:type="dxa"/>
            <w:tcBorders>
              <w:top w:val="nil"/>
              <w:left w:val="nil"/>
              <w:bottom w:val="single" w:sz="4" w:space="0" w:color="auto"/>
              <w:right w:val="single" w:sz="4" w:space="0" w:color="auto"/>
            </w:tcBorders>
            <w:noWrap/>
            <w:vAlign w:val="bottom"/>
            <w:hideMark/>
          </w:tcPr>
          <w:p w14:paraId="529F69F6" w14:textId="77777777" w:rsidR="00DE3C06" w:rsidRPr="000C5171" w:rsidRDefault="00DE3C06" w:rsidP="008A49D0">
            <w:pPr>
              <w:spacing w:after="0" w:line="240" w:lineRule="auto"/>
              <w:jc w:val="center"/>
              <w:rPr>
                <w:rFonts w:eastAsia="Times New Roman" w:cs="Arial"/>
                <w:color w:val="124F1A" w:themeColor="accent3" w:themeShade="BF"/>
                <w:sz w:val="20"/>
                <w:szCs w:val="20"/>
                <w:lang w:eastAsia="es-CO"/>
              </w:rPr>
            </w:pPr>
            <w:r w:rsidRPr="000C5171">
              <w:rPr>
                <w:rFonts w:eastAsia="Times New Roman" w:cs="Arial"/>
                <w:color w:val="124F1A" w:themeColor="accent3" w:themeShade="BF"/>
                <w:sz w:val="20"/>
                <w:szCs w:val="20"/>
                <w:lang w:eastAsia="es-CO"/>
              </w:rPr>
              <w:t>2</w:t>
            </w:r>
          </w:p>
        </w:tc>
        <w:tc>
          <w:tcPr>
            <w:tcW w:w="2235" w:type="dxa"/>
            <w:tcBorders>
              <w:top w:val="nil"/>
              <w:left w:val="nil"/>
              <w:bottom w:val="single" w:sz="4" w:space="0" w:color="auto"/>
              <w:right w:val="single" w:sz="4" w:space="0" w:color="auto"/>
            </w:tcBorders>
            <w:noWrap/>
            <w:vAlign w:val="bottom"/>
            <w:hideMark/>
          </w:tcPr>
          <w:p w14:paraId="48B0F083" w14:textId="77777777" w:rsidR="00DE3C06" w:rsidRPr="000C5171" w:rsidRDefault="00DE3C06" w:rsidP="008A49D0">
            <w:pPr>
              <w:spacing w:after="0" w:line="240" w:lineRule="auto"/>
              <w:jc w:val="center"/>
              <w:rPr>
                <w:rFonts w:eastAsia="Times New Roman" w:cs="Arial"/>
                <w:color w:val="124F1A" w:themeColor="accent3" w:themeShade="BF"/>
                <w:sz w:val="20"/>
                <w:szCs w:val="20"/>
                <w:lang w:eastAsia="es-CO"/>
              </w:rPr>
            </w:pPr>
            <w:r w:rsidRPr="000C5171">
              <w:rPr>
                <w:rFonts w:eastAsia="Times New Roman" w:cs="Arial"/>
                <w:color w:val="124F1A" w:themeColor="accent3" w:themeShade="BF"/>
                <w:sz w:val="20"/>
                <w:szCs w:val="20"/>
                <w:lang w:eastAsia="es-CO"/>
              </w:rPr>
              <w:t>0</w:t>
            </w:r>
          </w:p>
        </w:tc>
      </w:tr>
      <w:tr w:rsidR="00DE3C06" w:rsidRPr="000C5171" w14:paraId="501591B7" w14:textId="77777777" w:rsidTr="008A49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6"/>
          <w:jc w:val="center"/>
        </w:trPr>
        <w:tc>
          <w:tcPr>
            <w:tcW w:w="1318" w:type="dxa"/>
            <w:tcBorders>
              <w:top w:val="nil"/>
              <w:left w:val="single" w:sz="4" w:space="0" w:color="auto"/>
              <w:bottom w:val="single" w:sz="4" w:space="0" w:color="auto"/>
              <w:right w:val="single" w:sz="4" w:space="0" w:color="auto"/>
            </w:tcBorders>
            <w:noWrap/>
            <w:vAlign w:val="bottom"/>
            <w:hideMark/>
          </w:tcPr>
          <w:p w14:paraId="0C59ABDC" w14:textId="77777777" w:rsidR="00DE3C06" w:rsidRPr="000C5171" w:rsidRDefault="00DE3C06" w:rsidP="008A49D0">
            <w:pPr>
              <w:spacing w:after="0" w:line="240" w:lineRule="auto"/>
              <w:jc w:val="center"/>
              <w:rPr>
                <w:rFonts w:eastAsia="Times New Roman" w:cs="Arial"/>
                <w:color w:val="124F1A" w:themeColor="accent3" w:themeShade="BF"/>
                <w:sz w:val="20"/>
                <w:szCs w:val="20"/>
                <w:lang w:eastAsia="es-CO"/>
              </w:rPr>
            </w:pPr>
            <w:r w:rsidRPr="000C5171">
              <w:rPr>
                <w:rFonts w:eastAsia="Times New Roman" w:cs="Arial"/>
                <w:color w:val="124F1A" w:themeColor="accent3" w:themeShade="BF"/>
                <w:sz w:val="20"/>
                <w:szCs w:val="20"/>
                <w:lang w:eastAsia="es-CO"/>
              </w:rPr>
              <w:t>2024</w:t>
            </w:r>
          </w:p>
        </w:tc>
        <w:tc>
          <w:tcPr>
            <w:tcW w:w="3367" w:type="dxa"/>
            <w:tcBorders>
              <w:top w:val="nil"/>
              <w:left w:val="nil"/>
              <w:bottom w:val="single" w:sz="4" w:space="0" w:color="auto"/>
              <w:right w:val="single" w:sz="4" w:space="0" w:color="auto"/>
            </w:tcBorders>
            <w:noWrap/>
            <w:vAlign w:val="bottom"/>
            <w:hideMark/>
          </w:tcPr>
          <w:p w14:paraId="6722D795" w14:textId="77777777" w:rsidR="00DE3C06" w:rsidRPr="000C5171" w:rsidRDefault="00DE3C06" w:rsidP="008A49D0">
            <w:pPr>
              <w:spacing w:after="0" w:line="240" w:lineRule="auto"/>
              <w:jc w:val="center"/>
              <w:rPr>
                <w:rFonts w:eastAsia="Times New Roman" w:cs="Arial"/>
                <w:color w:val="124F1A" w:themeColor="accent3" w:themeShade="BF"/>
                <w:sz w:val="20"/>
                <w:szCs w:val="20"/>
                <w:lang w:eastAsia="es-CO"/>
              </w:rPr>
            </w:pPr>
            <w:r w:rsidRPr="000C5171">
              <w:rPr>
                <w:rFonts w:eastAsia="Times New Roman" w:cs="Arial"/>
                <w:color w:val="124F1A" w:themeColor="accent3" w:themeShade="BF"/>
                <w:sz w:val="20"/>
                <w:szCs w:val="20"/>
                <w:lang w:eastAsia="es-CO"/>
              </w:rPr>
              <w:t>2</w:t>
            </w:r>
          </w:p>
        </w:tc>
        <w:tc>
          <w:tcPr>
            <w:tcW w:w="2235" w:type="dxa"/>
            <w:tcBorders>
              <w:top w:val="nil"/>
              <w:left w:val="nil"/>
              <w:bottom w:val="single" w:sz="4" w:space="0" w:color="auto"/>
              <w:right w:val="single" w:sz="4" w:space="0" w:color="auto"/>
            </w:tcBorders>
            <w:noWrap/>
            <w:vAlign w:val="bottom"/>
            <w:hideMark/>
          </w:tcPr>
          <w:p w14:paraId="3EB565F7" w14:textId="77777777" w:rsidR="00DE3C06" w:rsidRPr="000C5171" w:rsidRDefault="00DE3C06" w:rsidP="008A49D0">
            <w:pPr>
              <w:spacing w:after="0" w:line="240" w:lineRule="auto"/>
              <w:jc w:val="center"/>
              <w:rPr>
                <w:rFonts w:eastAsia="Times New Roman" w:cs="Arial"/>
                <w:color w:val="124F1A" w:themeColor="accent3" w:themeShade="BF"/>
                <w:sz w:val="20"/>
                <w:szCs w:val="20"/>
                <w:lang w:eastAsia="es-CO"/>
              </w:rPr>
            </w:pPr>
            <w:r w:rsidRPr="000C5171">
              <w:rPr>
                <w:rFonts w:eastAsia="Times New Roman" w:cs="Arial"/>
                <w:color w:val="124F1A" w:themeColor="accent3" w:themeShade="BF"/>
                <w:sz w:val="20"/>
                <w:szCs w:val="20"/>
                <w:lang w:eastAsia="es-CO"/>
              </w:rPr>
              <w:t>0</w:t>
            </w:r>
          </w:p>
        </w:tc>
      </w:tr>
      <w:tr w:rsidR="00DE3C06" w:rsidRPr="000C5171" w14:paraId="0FEDC78B" w14:textId="77777777" w:rsidTr="008A49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6"/>
          <w:jc w:val="center"/>
        </w:trPr>
        <w:tc>
          <w:tcPr>
            <w:tcW w:w="1318" w:type="dxa"/>
            <w:tcBorders>
              <w:top w:val="nil"/>
              <w:left w:val="single" w:sz="4" w:space="0" w:color="auto"/>
              <w:bottom w:val="single" w:sz="4" w:space="0" w:color="auto"/>
              <w:right w:val="single" w:sz="4" w:space="0" w:color="auto"/>
            </w:tcBorders>
            <w:noWrap/>
            <w:vAlign w:val="bottom"/>
            <w:hideMark/>
          </w:tcPr>
          <w:p w14:paraId="66840347" w14:textId="77777777" w:rsidR="00DE3C06" w:rsidRPr="000C5171" w:rsidRDefault="00DE3C06" w:rsidP="008A49D0">
            <w:pPr>
              <w:spacing w:after="0" w:line="240" w:lineRule="auto"/>
              <w:jc w:val="center"/>
              <w:rPr>
                <w:rFonts w:eastAsia="Times New Roman" w:cs="Arial"/>
                <w:color w:val="124F1A" w:themeColor="accent3" w:themeShade="BF"/>
                <w:sz w:val="20"/>
                <w:szCs w:val="20"/>
                <w:lang w:eastAsia="es-CO"/>
              </w:rPr>
            </w:pPr>
            <w:r w:rsidRPr="000C5171">
              <w:rPr>
                <w:rFonts w:eastAsia="Times New Roman" w:cs="Arial"/>
                <w:color w:val="124F1A" w:themeColor="accent3" w:themeShade="BF"/>
                <w:sz w:val="20"/>
                <w:szCs w:val="20"/>
                <w:lang w:eastAsia="es-CO"/>
              </w:rPr>
              <w:t>2025</w:t>
            </w:r>
          </w:p>
        </w:tc>
        <w:tc>
          <w:tcPr>
            <w:tcW w:w="3367" w:type="dxa"/>
            <w:tcBorders>
              <w:top w:val="nil"/>
              <w:left w:val="nil"/>
              <w:bottom w:val="single" w:sz="4" w:space="0" w:color="auto"/>
              <w:right w:val="single" w:sz="4" w:space="0" w:color="auto"/>
            </w:tcBorders>
            <w:noWrap/>
            <w:vAlign w:val="bottom"/>
            <w:hideMark/>
          </w:tcPr>
          <w:p w14:paraId="717EA6E9" w14:textId="77777777" w:rsidR="00DE3C06" w:rsidRPr="000C5171" w:rsidRDefault="00DE3C06" w:rsidP="008A49D0">
            <w:pPr>
              <w:spacing w:after="0" w:line="240" w:lineRule="auto"/>
              <w:jc w:val="center"/>
              <w:rPr>
                <w:rFonts w:eastAsia="Times New Roman" w:cs="Arial"/>
                <w:color w:val="124F1A" w:themeColor="accent3" w:themeShade="BF"/>
                <w:sz w:val="20"/>
                <w:szCs w:val="20"/>
                <w:lang w:eastAsia="es-CO"/>
              </w:rPr>
            </w:pPr>
            <w:r w:rsidRPr="000C5171">
              <w:rPr>
                <w:rFonts w:eastAsia="Times New Roman" w:cs="Arial"/>
                <w:color w:val="124F1A" w:themeColor="accent3" w:themeShade="BF"/>
                <w:sz w:val="20"/>
                <w:szCs w:val="20"/>
                <w:lang w:eastAsia="es-CO"/>
              </w:rPr>
              <w:t>4</w:t>
            </w:r>
          </w:p>
        </w:tc>
        <w:tc>
          <w:tcPr>
            <w:tcW w:w="2235" w:type="dxa"/>
            <w:tcBorders>
              <w:top w:val="nil"/>
              <w:left w:val="nil"/>
              <w:bottom w:val="single" w:sz="4" w:space="0" w:color="auto"/>
              <w:right w:val="single" w:sz="4" w:space="0" w:color="auto"/>
            </w:tcBorders>
            <w:noWrap/>
            <w:vAlign w:val="bottom"/>
            <w:hideMark/>
          </w:tcPr>
          <w:p w14:paraId="22D63CF8" w14:textId="77777777" w:rsidR="00DE3C06" w:rsidRPr="000C5171" w:rsidRDefault="00DE3C06" w:rsidP="008A49D0">
            <w:pPr>
              <w:spacing w:after="0" w:line="240" w:lineRule="auto"/>
              <w:jc w:val="center"/>
              <w:rPr>
                <w:rFonts w:eastAsia="Times New Roman" w:cs="Arial"/>
                <w:color w:val="124F1A" w:themeColor="accent3" w:themeShade="BF"/>
                <w:sz w:val="20"/>
                <w:szCs w:val="20"/>
                <w:lang w:eastAsia="es-CO"/>
              </w:rPr>
            </w:pPr>
            <w:r w:rsidRPr="000C5171">
              <w:rPr>
                <w:rFonts w:eastAsia="Times New Roman" w:cs="Arial"/>
                <w:color w:val="124F1A" w:themeColor="accent3" w:themeShade="BF"/>
                <w:sz w:val="20"/>
                <w:szCs w:val="20"/>
                <w:lang w:eastAsia="es-CO"/>
              </w:rPr>
              <w:t>0</w:t>
            </w:r>
          </w:p>
        </w:tc>
      </w:tr>
      <w:tr w:rsidR="00DE3C06" w:rsidRPr="000C5171" w14:paraId="4726007E" w14:textId="77777777" w:rsidTr="008A49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jc w:val="center"/>
        </w:trPr>
        <w:tc>
          <w:tcPr>
            <w:tcW w:w="1318" w:type="dxa"/>
            <w:tcBorders>
              <w:top w:val="nil"/>
              <w:left w:val="single" w:sz="4" w:space="0" w:color="auto"/>
              <w:bottom w:val="nil"/>
              <w:right w:val="single" w:sz="4" w:space="0" w:color="auto"/>
            </w:tcBorders>
            <w:noWrap/>
            <w:vAlign w:val="bottom"/>
            <w:hideMark/>
          </w:tcPr>
          <w:p w14:paraId="300CE3FB" w14:textId="77777777" w:rsidR="00DE3C06" w:rsidRPr="000C5171" w:rsidRDefault="00DE3C06" w:rsidP="008A49D0">
            <w:pPr>
              <w:spacing w:after="0" w:line="240" w:lineRule="auto"/>
              <w:jc w:val="center"/>
              <w:rPr>
                <w:rFonts w:eastAsia="Times New Roman" w:cs="Arial"/>
                <w:color w:val="124F1A" w:themeColor="accent3" w:themeShade="BF"/>
                <w:sz w:val="20"/>
                <w:szCs w:val="20"/>
                <w:lang w:eastAsia="es-CO"/>
              </w:rPr>
            </w:pPr>
            <w:r w:rsidRPr="000C5171">
              <w:rPr>
                <w:rFonts w:eastAsia="Times New Roman" w:cs="Arial"/>
                <w:color w:val="124F1A" w:themeColor="accent3" w:themeShade="BF"/>
                <w:sz w:val="20"/>
                <w:szCs w:val="20"/>
                <w:lang w:eastAsia="es-CO"/>
              </w:rPr>
              <w:t>2026</w:t>
            </w:r>
          </w:p>
        </w:tc>
        <w:tc>
          <w:tcPr>
            <w:tcW w:w="3367" w:type="dxa"/>
            <w:tcBorders>
              <w:top w:val="nil"/>
              <w:left w:val="nil"/>
              <w:bottom w:val="nil"/>
              <w:right w:val="single" w:sz="4" w:space="0" w:color="auto"/>
            </w:tcBorders>
            <w:noWrap/>
            <w:vAlign w:val="bottom"/>
            <w:hideMark/>
          </w:tcPr>
          <w:p w14:paraId="7992EEC5" w14:textId="77777777" w:rsidR="00DE3C06" w:rsidRPr="000C5171" w:rsidRDefault="00DE3C06" w:rsidP="008A49D0">
            <w:pPr>
              <w:spacing w:after="0" w:line="240" w:lineRule="auto"/>
              <w:jc w:val="center"/>
              <w:rPr>
                <w:rFonts w:eastAsia="Times New Roman" w:cs="Arial"/>
                <w:color w:val="124F1A" w:themeColor="accent3" w:themeShade="BF"/>
                <w:sz w:val="20"/>
                <w:szCs w:val="20"/>
                <w:lang w:eastAsia="es-CO"/>
              </w:rPr>
            </w:pPr>
            <w:r w:rsidRPr="000C5171">
              <w:rPr>
                <w:rFonts w:eastAsia="Times New Roman" w:cs="Arial"/>
                <w:color w:val="124F1A" w:themeColor="accent3" w:themeShade="BF"/>
                <w:sz w:val="20"/>
                <w:szCs w:val="20"/>
                <w:lang w:eastAsia="es-CO"/>
              </w:rPr>
              <w:t>2</w:t>
            </w:r>
          </w:p>
        </w:tc>
        <w:tc>
          <w:tcPr>
            <w:tcW w:w="2235" w:type="dxa"/>
            <w:tcBorders>
              <w:top w:val="nil"/>
              <w:left w:val="nil"/>
              <w:bottom w:val="nil"/>
              <w:right w:val="single" w:sz="4" w:space="0" w:color="auto"/>
            </w:tcBorders>
            <w:noWrap/>
            <w:vAlign w:val="bottom"/>
            <w:hideMark/>
          </w:tcPr>
          <w:p w14:paraId="14DEEC90" w14:textId="77777777" w:rsidR="00DE3C06" w:rsidRPr="000C5171" w:rsidRDefault="00DE3C06" w:rsidP="008A49D0">
            <w:pPr>
              <w:spacing w:after="0" w:line="240" w:lineRule="auto"/>
              <w:jc w:val="center"/>
              <w:rPr>
                <w:rFonts w:eastAsia="Times New Roman" w:cs="Arial"/>
                <w:color w:val="124F1A" w:themeColor="accent3" w:themeShade="BF"/>
                <w:sz w:val="20"/>
                <w:szCs w:val="20"/>
                <w:lang w:eastAsia="es-CO"/>
              </w:rPr>
            </w:pPr>
            <w:r w:rsidRPr="000C5171">
              <w:rPr>
                <w:rFonts w:eastAsia="Times New Roman" w:cs="Arial"/>
                <w:color w:val="124F1A" w:themeColor="accent3" w:themeShade="BF"/>
                <w:sz w:val="20"/>
                <w:szCs w:val="20"/>
                <w:lang w:eastAsia="es-CO"/>
              </w:rPr>
              <w:t>5</w:t>
            </w:r>
          </w:p>
        </w:tc>
      </w:tr>
      <w:tr w:rsidR="00DE3C06" w:rsidRPr="000C5171" w14:paraId="2C7EA861" w14:textId="77777777" w:rsidTr="008A49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jc w:val="center"/>
        </w:trPr>
        <w:tc>
          <w:tcPr>
            <w:tcW w:w="1318" w:type="dxa"/>
            <w:tcBorders>
              <w:top w:val="single" w:sz="8" w:space="0" w:color="auto"/>
              <w:left w:val="single" w:sz="8" w:space="0" w:color="auto"/>
              <w:bottom w:val="single" w:sz="8" w:space="0" w:color="auto"/>
              <w:right w:val="single" w:sz="4" w:space="0" w:color="auto"/>
            </w:tcBorders>
            <w:noWrap/>
            <w:vAlign w:val="bottom"/>
            <w:hideMark/>
          </w:tcPr>
          <w:p w14:paraId="17EDB3BF" w14:textId="77777777" w:rsidR="00DE3C06" w:rsidRPr="000C5171" w:rsidRDefault="00DE3C06" w:rsidP="008A49D0">
            <w:pPr>
              <w:spacing w:after="0" w:line="240" w:lineRule="auto"/>
              <w:jc w:val="center"/>
              <w:rPr>
                <w:rFonts w:eastAsia="Times New Roman" w:cs="Arial"/>
                <w:b/>
                <w:bCs/>
                <w:color w:val="124F1A" w:themeColor="accent3" w:themeShade="BF"/>
                <w:sz w:val="20"/>
                <w:szCs w:val="20"/>
                <w:lang w:eastAsia="es-CO"/>
              </w:rPr>
            </w:pPr>
            <w:r w:rsidRPr="000C5171">
              <w:rPr>
                <w:rFonts w:eastAsia="Times New Roman" w:cs="Arial"/>
                <w:b/>
                <w:bCs/>
                <w:color w:val="124F1A" w:themeColor="accent3" w:themeShade="BF"/>
                <w:sz w:val="20"/>
                <w:szCs w:val="20"/>
                <w:lang w:eastAsia="es-CO"/>
              </w:rPr>
              <w:t>Total</w:t>
            </w:r>
          </w:p>
        </w:tc>
        <w:tc>
          <w:tcPr>
            <w:tcW w:w="3367" w:type="dxa"/>
            <w:tcBorders>
              <w:top w:val="single" w:sz="8" w:space="0" w:color="auto"/>
              <w:left w:val="nil"/>
              <w:bottom w:val="single" w:sz="8" w:space="0" w:color="auto"/>
              <w:right w:val="single" w:sz="4" w:space="0" w:color="auto"/>
            </w:tcBorders>
            <w:noWrap/>
            <w:vAlign w:val="bottom"/>
            <w:hideMark/>
          </w:tcPr>
          <w:p w14:paraId="1515754A" w14:textId="77777777" w:rsidR="00DE3C06" w:rsidRPr="000C5171" w:rsidRDefault="00DE3C06" w:rsidP="008A49D0">
            <w:pPr>
              <w:spacing w:after="0" w:line="240" w:lineRule="auto"/>
              <w:jc w:val="center"/>
              <w:rPr>
                <w:rFonts w:eastAsia="Times New Roman" w:cs="Arial"/>
                <w:b/>
                <w:bCs/>
                <w:color w:val="124F1A" w:themeColor="accent3" w:themeShade="BF"/>
                <w:sz w:val="20"/>
                <w:szCs w:val="20"/>
                <w:lang w:eastAsia="es-CO"/>
              </w:rPr>
            </w:pPr>
            <w:r w:rsidRPr="000C5171">
              <w:rPr>
                <w:rFonts w:eastAsia="Times New Roman" w:cs="Arial"/>
                <w:b/>
                <w:bCs/>
                <w:color w:val="124F1A" w:themeColor="accent3" w:themeShade="BF"/>
                <w:sz w:val="20"/>
                <w:szCs w:val="20"/>
                <w:lang w:eastAsia="es-CO"/>
              </w:rPr>
              <w:t>13</w:t>
            </w:r>
          </w:p>
        </w:tc>
        <w:tc>
          <w:tcPr>
            <w:tcW w:w="2235" w:type="dxa"/>
            <w:tcBorders>
              <w:top w:val="single" w:sz="8" w:space="0" w:color="auto"/>
              <w:left w:val="nil"/>
              <w:bottom w:val="single" w:sz="8" w:space="0" w:color="auto"/>
              <w:right w:val="single" w:sz="8" w:space="0" w:color="auto"/>
            </w:tcBorders>
            <w:noWrap/>
            <w:vAlign w:val="bottom"/>
            <w:hideMark/>
          </w:tcPr>
          <w:p w14:paraId="7341559F" w14:textId="77777777" w:rsidR="00DE3C06" w:rsidRPr="000C5171" w:rsidRDefault="00DE3C06" w:rsidP="008A49D0">
            <w:pPr>
              <w:spacing w:after="0" w:line="240" w:lineRule="auto"/>
              <w:jc w:val="center"/>
              <w:rPr>
                <w:rFonts w:eastAsia="Times New Roman" w:cs="Arial"/>
                <w:b/>
                <w:bCs/>
                <w:color w:val="124F1A" w:themeColor="accent3" w:themeShade="BF"/>
                <w:sz w:val="20"/>
                <w:szCs w:val="20"/>
                <w:lang w:eastAsia="es-CO"/>
              </w:rPr>
            </w:pPr>
            <w:r w:rsidRPr="000C5171">
              <w:rPr>
                <w:rFonts w:eastAsia="Times New Roman" w:cs="Arial"/>
                <w:b/>
                <w:bCs/>
                <w:color w:val="124F1A" w:themeColor="accent3" w:themeShade="BF"/>
                <w:sz w:val="20"/>
                <w:szCs w:val="20"/>
                <w:lang w:eastAsia="es-CO"/>
              </w:rPr>
              <w:t>5</w:t>
            </w:r>
          </w:p>
        </w:tc>
      </w:tr>
      <w:tr w:rsidR="00DE3C06" w:rsidRPr="000C5171" w14:paraId="5AB4678F" w14:textId="77777777" w:rsidTr="008A49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6"/>
          <w:jc w:val="center"/>
        </w:trPr>
        <w:tc>
          <w:tcPr>
            <w:tcW w:w="1318" w:type="dxa"/>
            <w:noWrap/>
            <w:vAlign w:val="bottom"/>
            <w:hideMark/>
          </w:tcPr>
          <w:p w14:paraId="120E4F35" w14:textId="77777777" w:rsidR="00DE3C06" w:rsidRPr="000C5171" w:rsidRDefault="00DE3C06" w:rsidP="008A49D0">
            <w:pPr>
              <w:spacing w:line="276" w:lineRule="auto"/>
              <w:rPr>
                <w:rFonts w:eastAsia="Times New Roman" w:cs="Arial"/>
                <w:b/>
                <w:bCs/>
                <w:color w:val="124F1A" w:themeColor="accent3" w:themeShade="BF"/>
                <w:sz w:val="20"/>
                <w:szCs w:val="20"/>
                <w:lang w:eastAsia="es-CO"/>
              </w:rPr>
            </w:pPr>
          </w:p>
        </w:tc>
        <w:tc>
          <w:tcPr>
            <w:tcW w:w="3367" w:type="dxa"/>
            <w:noWrap/>
            <w:vAlign w:val="bottom"/>
            <w:hideMark/>
          </w:tcPr>
          <w:p w14:paraId="4A01600C" w14:textId="77777777" w:rsidR="00DE3C06" w:rsidRPr="000C5171" w:rsidRDefault="00DE3C06" w:rsidP="008A49D0">
            <w:pPr>
              <w:spacing w:after="0"/>
              <w:rPr>
                <w:rFonts w:eastAsia="Nunito" w:cs="Times New Roman"/>
                <w:sz w:val="20"/>
                <w:szCs w:val="20"/>
                <w:lang w:eastAsia="es-CO"/>
              </w:rPr>
            </w:pPr>
          </w:p>
        </w:tc>
        <w:tc>
          <w:tcPr>
            <w:tcW w:w="2235" w:type="dxa"/>
            <w:noWrap/>
            <w:vAlign w:val="bottom"/>
            <w:hideMark/>
          </w:tcPr>
          <w:p w14:paraId="31CE8440" w14:textId="77777777" w:rsidR="00DE3C06" w:rsidRPr="000C5171" w:rsidRDefault="00DE3C06" w:rsidP="008A49D0">
            <w:pPr>
              <w:spacing w:after="0"/>
              <w:rPr>
                <w:rFonts w:eastAsia="Nunito" w:cs="Times New Roman"/>
                <w:sz w:val="20"/>
                <w:szCs w:val="20"/>
                <w:lang w:eastAsia="es-CO"/>
              </w:rPr>
            </w:pPr>
          </w:p>
        </w:tc>
      </w:tr>
      <w:tr w:rsidR="00DE3C06" w:rsidRPr="000C5171" w14:paraId="52568D53" w14:textId="77777777" w:rsidTr="008A49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6"/>
          <w:jc w:val="center"/>
        </w:trPr>
        <w:tc>
          <w:tcPr>
            <w:tcW w:w="6921" w:type="dxa"/>
            <w:gridSpan w:val="3"/>
            <w:noWrap/>
            <w:vAlign w:val="bottom"/>
            <w:hideMark/>
          </w:tcPr>
          <w:p w14:paraId="55F5D0C2" w14:textId="77777777" w:rsidR="00DE3C06" w:rsidRPr="000C5171" w:rsidRDefault="00DE3C06" w:rsidP="008A49D0">
            <w:pPr>
              <w:spacing w:after="0" w:line="240" w:lineRule="auto"/>
              <w:rPr>
                <w:rFonts w:eastAsia="Times New Roman" w:cs="Arial"/>
                <w:color w:val="124F1A" w:themeColor="accent3" w:themeShade="BF"/>
                <w:sz w:val="20"/>
                <w:szCs w:val="20"/>
                <w:lang w:eastAsia="es-CO"/>
              </w:rPr>
            </w:pPr>
            <w:r w:rsidRPr="000C5171">
              <w:rPr>
                <w:rFonts w:eastAsia="Times New Roman" w:cs="Arial"/>
                <w:color w:val="124F1A" w:themeColor="accent3" w:themeShade="BF"/>
                <w:sz w:val="20"/>
                <w:szCs w:val="20"/>
                <w:lang w:eastAsia="es-CO"/>
              </w:rPr>
              <w:t>Fuente ART. *Créditos judiciales pagados en el 1er semestre de 2022</w:t>
            </w:r>
          </w:p>
        </w:tc>
        <w:bookmarkEnd w:id="48"/>
      </w:tr>
      <w:tr w:rsidR="00DE3C06" w:rsidRPr="000C5171" w14:paraId="7362DAA6" w14:textId="77777777" w:rsidTr="008A49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6"/>
          <w:jc w:val="center"/>
        </w:trPr>
        <w:tc>
          <w:tcPr>
            <w:tcW w:w="6921" w:type="dxa"/>
            <w:gridSpan w:val="3"/>
            <w:noWrap/>
            <w:vAlign w:val="bottom"/>
          </w:tcPr>
          <w:p w14:paraId="5D7883BD" w14:textId="77777777" w:rsidR="00DE3C06" w:rsidRPr="000C5171" w:rsidRDefault="00DE3C06" w:rsidP="008A49D0">
            <w:pPr>
              <w:spacing w:after="0" w:line="240" w:lineRule="auto"/>
              <w:rPr>
                <w:rFonts w:eastAsia="Times New Roman" w:cs="Arial"/>
                <w:color w:val="124F1A" w:themeColor="accent3" w:themeShade="BF"/>
                <w:sz w:val="20"/>
                <w:szCs w:val="20"/>
                <w:lang w:eastAsia="es-CO"/>
              </w:rPr>
            </w:pPr>
          </w:p>
        </w:tc>
      </w:tr>
    </w:tbl>
    <w:p w14:paraId="326B0F36" w14:textId="77777777" w:rsidR="00DE3C06" w:rsidRDefault="00DE3C06" w:rsidP="00DE3C06">
      <w:pPr>
        <w:spacing w:after="0" w:line="276" w:lineRule="auto"/>
        <w:rPr>
          <w:rFonts w:cs="Tahoma"/>
          <w:sz w:val="22"/>
          <w:szCs w:val="22"/>
        </w:rPr>
      </w:pPr>
    </w:p>
    <w:p w14:paraId="50335CAA" w14:textId="77777777" w:rsidR="00DE3C06" w:rsidRPr="000C5171" w:rsidRDefault="00DE3C06" w:rsidP="00DE3C06">
      <w:pPr>
        <w:spacing w:after="0" w:line="276" w:lineRule="auto"/>
        <w:rPr>
          <w:rFonts w:cs="Tahoma"/>
          <w:sz w:val="22"/>
          <w:szCs w:val="22"/>
        </w:rPr>
      </w:pPr>
      <w:r w:rsidRPr="000C5171">
        <w:rPr>
          <w:rFonts w:cs="Tahoma"/>
          <w:sz w:val="22"/>
          <w:szCs w:val="22"/>
        </w:rPr>
        <w:t>Se remite de forma anexa la siguiente información:</w:t>
      </w:r>
    </w:p>
    <w:p w14:paraId="5D76BBA0" w14:textId="77777777" w:rsidR="00DE3C06" w:rsidRPr="000C5171" w:rsidRDefault="00DE3C06" w:rsidP="00DE3C06">
      <w:pPr>
        <w:spacing w:after="0" w:line="276" w:lineRule="auto"/>
        <w:rPr>
          <w:rFonts w:cs="Tahoma"/>
          <w:sz w:val="22"/>
          <w:szCs w:val="22"/>
        </w:rPr>
      </w:pPr>
    </w:p>
    <w:p w14:paraId="2F08C91C" w14:textId="77777777" w:rsidR="00DE3C06" w:rsidRPr="000C5171" w:rsidRDefault="00DE3C06">
      <w:pPr>
        <w:pStyle w:val="Prrafodelista"/>
        <w:numPr>
          <w:ilvl w:val="0"/>
          <w:numId w:val="13"/>
        </w:numPr>
        <w:spacing w:after="0" w:line="276" w:lineRule="auto"/>
        <w:jc w:val="both"/>
        <w:rPr>
          <w:rFonts w:cs="Tahoma"/>
          <w:sz w:val="22"/>
          <w:szCs w:val="22"/>
        </w:rPr>
      </w:pPr>
      <w:r w:rsidRPr="000C5171">
        <w:rPr>
          <w:rFonts w:cs="Tahoma"/>
          <w:sz w:val="22"/>
          <w:szCs w:val="22"/>
        </w:rPr>
        <w:t xml:space="preserve">Se informa que a la fecha la ART cuenta con setenta y cinco (75) procesos judiciales activos. Se adjunta reporte de procesos judiciales descargado del Sistema de Información Litigiosa EKOGUI. El documento Excel se denomina: </w:t>
      </w:r>
      <w:r w:rsidRPr="000C5171">
        <w:rPr>
          <w:rFonts w:cs="Tahoma"/>
          <w:i/>
          <w:iCs/>
          <w:sz w:val="22"/>
          <w:szCs w:val="22"/>
        </w:rPr>
        <w:t>“Procesos judiciales ART”</w:t>
      </w:r>
      <w:r w:rsidRPr="000C5171">
        <w:rPr>
          <w:rFonts w:cs="Tahoma"/>
          <w:sz w:val="22"/>
          <w:szCs w:val="22"/>
        </w:rPr>
        <w:t xml:space="preserve"> </w:t>
      </w:r>
      <w:r w:rsidRPr="000C5171">
        <w:rPr>
          <w:rFonts w:cs="Tahoma"/>
          <w:b/>
          <w:bCs/>
          <w:sz w:val="22"/>
          <w:szCs w:val="22"/>
        </w:rPr>
        <w:t>(ANEXO 29.A)</w:t>
      </w:r>
      <w:r w:rsidRPr="000C5171">
        <w:rPr>
          <w:rFonts w:cs="Tahoma"/>
          <w:sz w:val="22"/>
          <w:szCs w:val="22"/>
        </w:rPr>
        <w:t xml:space="preserve"> que contiene los siguientes ítems: Identificación del proceso, Tipo de acción, Nombre del demandante, Etapa procesal, Fallo (en contra/a favor), Valor condena y Estado del proceso.</w:t>
      </w:r>
    </w:p>
    <w:p w14:paraId="7F1804CB" w14:textId="77777777" w:rsidR="00DE3C06" w:rsidRPr="000C5171" w:rsidRDefault="00DE3C06" w:rsidP="00DE3C06">
      <w:pPr>
        <w:pStyle w:val="Prrafodelista"/>
        <w:spacing w:after="0" w:line="276" w:lineRule="auto"/>
        <w:jc w:val="both"/>
        <w:rPr>
          <w:rFonts w:cs="Tahoma"/>
          <w:sz w:val="22"/>
          <w:szCs w:val="22"/>
        </w:rPr>
      </w:pPr>
    </w:p>
    <w:p w14:paraId="577CE6D7" w14:textId="77777777" w:rsidR="00DE3C06" w:rsidRPr="000C5171" w:rsidRDefault="00DE3C06">
      <w:pPr>
        <w:pStyle w:val="Prrafodelista"/>
        <w:numPr>
          <w:ilvl w:val="0"/>
          <w:numId w:val="13"/>
        </w:numPr>
        <w:spacing w:after="0" w:line="276" w:lineRule="auto"/>
        <w:jc w:val="both"/>
        <w:rPr>
          <w:rFonts w:cs="Tahoma"/>
          <w:sz w:val="22"/>
          <w:szCs w:val="22"/>
        </w:rPr>
      </w:pPr>
      <w:r w:rsidRPr="000C5171">
        <w:rPr>
          <w:rFonts w:cs="Tahoma"/>
          <w:sz w:val="22"/>
          <w:szCs w:val="22"/>
        </w:rPr>
        <w:t xml:space="preserve">Respecto de los ítems valor y fecha de pago de los créditos judiciales se adjunta el documento Excel: </w:t>
      </w:r>
      <w:r w:rsidRPr="000C5171">
        <w:rPr>
          <w:rFonts w:cs="Tahoma"/>
          <w:i/>
          <w:iCs/>
          <w:sz w:val="22"/>
          <w:szCs w:val="22"/>
        </w:rPr>
        <w:t>“Pagos GIT Financiera 2025”</w:t>
      </w:r>
      <w:r w:rsidRPr="000C5171">
        <w:rPr>
          <w:rFonts w:cs="Tahoma"/>
          <w:sz w:val="22"/>
          <w:szCs w:val="22"/>
        </w:rPr>
        <w:t xml:space="preserve"> </w:t>
      </w:r>
      <w:r w:rsidRPr="000C5171">
        <w:rPr>
          <w:rFonts w:cs="Tahoma"/>
          <w:b/>
          <w:bCs/>
          <w:sz w:val="22"/>
          <w:szCs w:val="22"/>
        </w:rPr>
        <w:t>(ANEXO 29.B)</w:t>
      </w:r>
      <w:r w:rsidRPr="000C5171">
        <w:rPr>
          <w:rFonts w:cs="Tahoma"/>
          <w:sz w:val="22"/>
          <w:szCs w:val="22"/>
        </w:rPr>
        <w:t>, según información reportada por el Grupo Interno de Trabajo de Financiera, los cuales se relacionan a continuación:</w:t>
      </w:r>
    </w:p>
    <w:p w14:paraId="6DB0B320" w14:textId="77777777" w:rsidR="00DE3C06" w:rsidRPr="000C5171" w:rsidRDefault="00DE3C06" w:rsidP="00DE3C06">
      <w:pPr>
        <w:pStyle w:val="Prrafodelista"/>
        <w:spacing w:line="276" w:lineRule="auto"/>
        <w:rPr>
          <w:rFonts w:cs="Tahoma"/>
          <w:sz w:val="22"/>
          <w:szCs w:val="22"/>
        </w:rPr>
      </w:pPr>
    </w:p>
    <w:p w14:paraId="2ED4B77B" w14:textId="77777777" w:rsidR="00DE3C06" w:rsidRPr="000C5171" w:rsidRDefault="00DE3C06">
      <w:pPr>
        <w:pStyle w:val="Prrafodelista"/>
        <w:numPr>
          <w:ilvl w:val="0"/>
          <w:numId w:val="13"/>
        </w:numPr>
        <w:spacing w:after="0" w:line="276" w:lineRule="auto"/>
        <w:jc w:val="both"/>
        <w:rPr>
          <w:rFonts w:cs="Tahoma"/>
          <w:sz w:val="22"/>
          <w:szCs w:val="22"/>
        </w:rPr>
      </w:pPr>
      <w:r w:rsidRPr="000C5171">
        <w:rPr>
          <w:rFonts w:cs="Tahoma"/>
          <w:sz w:val="22"/>
          <w:szCs w:val="22"/>
        </w:rPr>
        <w:t>Frente a las acciones de tutela notificadas en el cuatrienio se adjunta el documento Excel denominado: “</w:t>
      </w:r>
      <w:r w:rsidRPr="000C5171">
        <w:rPr>
          <w:rFonts w:cs="Tahoma"/>
          <w:i/>
          <w:iCs/>
          <w:sz w:val="22"/>
          <w:szCs w:val="22"/>
        </w:rPr>
        <w:t xml:space="preserve">Acciones de tutela </w:t>
      </w:r>
      <w:proofErr w:type="gramStart"/>
      <w:r w:rsidRPr="000C5171">
        <w:rPr>
          <w:rFonts w:cs="Tahoma"/>
          <w:i/>
          <w:iCs/>
          <w:sz w:val="22"/>
          <w:szCs w:val="22"/>
        </w:rPr>
        <w:t>2022</w:t>
      </w:r>
      <w:r w:rsidRPr="000C5171">
        <w:rPr>
          <w:rFonts w:cs="Tahoma"/>
          <w:sz w:val="22"/>
          <w:szCs w:val="22"/>
        </w:rPr>
        <w:t>“ (</w:t>
      </w:r>
      <w:proofErr w:type="gramEnd"/>
      <w:r w:rsidRPr="000C5171">
        <w:rPr>
          <w:rFonts w:cs="Tahoma"/>
          <w:b/>
          <w:bCs/>
          <w:sz w:val="22"/>
          <w:szCs w:val="22"/>
        </w:rPr>
        <w:t>ANEXO 29.C</w:t>
      </w:r>
      <w:r w:rsidRPr="000C5171">
        <w:rPr>
          <w:rFonts w:cs="Tahoma"/>
          <w:sz w:val="22"/>
          <w:szCs w:val="22"/>
        </w:rPr>
        <w:t>) y “</w:t>
      </w:r>
      <w:r w:rsidRPr="000C5171">
        <w:rPr>
          <w:rFonts w:cs="Tahoma"/>
          <w:i/>
          <w:iCs/>
          <w:sz w:val="22"/>
          <w:szCs w:val="22"/>
        </w:rPr>
        <w:t xml:space="preserve">Acciones de tutela 2023-2026”, </w:t>
      </w:r>
      <w:r w:rsidRPr="000C5171">
        <w:rPr>
          <w:rFonts w:cs="Tahoma"/>
          <w:sz w:val="22"/>
          <w:szCs w:val="22"/>
        </w:rPr>
        <w:t>(</w:t>
      </w:r>
      <w:r w:rsidRPr="000C5171">
        <w:rPr>
          <w:rFonts w:cs="Tahoma"/>
          <w:b/>
          <w:bCs/>
          <w:sz w:val="22"/>
          <w:szCs w:val="22"/>
        </w:rPr>
        <w:t>ANEXO 29.D</w:t>
      </w:r>
      <w:r w:rsidRPr="000C5171">
        <w:rPr>
          <w:rFonts w:cs="Tahoma"/>
          <w:sz w:val="22"/>
          <w:szCs w:val="22"/>
        </w:rPr>
        <w:t>)</w:t>
      </w:r>
      <w:r w:rsidRPr="000C5171">
        <w:rPr>
          <w:rFonts w:cs="Tahoma"/>
          <w:i/>
          <w:iCs/>
          <w:sz w:val="22"/>
          <w:szCs w:val="22"/>
        </w:rPr>
        <w:t xml:space="preserve">. </w:t>
      </w:r>
      <w:r w:rsidRPr="000C5171">
        <w:rPr>
          <w:rFonts w:cs="Tahoma"/>
          <w:sz w:val="22"/>
          <w:szCs w:val="22"/>
        </w:rPr>
        <w:t>A continuación, se detalla por vigencia las acciones constitucionales de tutela atendidas por la ART.</w:t>
      </w:r>
    </w:p>
    <w:p w14:paraId="318FB00B" w14:textId="77777777" w:rsidR="00DE3C06" w:rsidRDefault="00DE3C06" w:rsidP="00DE3C06">
      <w:pPr>
        <w:pStyle w:val="Prrafodelista"/>
        <w:rPr>
          <w:rFonts w:cs="Tahoma"/>
          <w:sz w:val="22"/>
          <w:szCs w:val="22"/>
        </w:rPr>
      </w:pPr>
    </w:p>
    <w:p w14:paraId="70615EF9" w14:textId="77777777" w:rsidR="00DE3C06" w:rsidRDefault="00DE3C06" w:rsidP="00DE3C06">
      <w:pPr>
        <w:pStyle w:val="Prrafodelista"/>
        <w:rPr>
          <w:rFonts w:cs="Tahoma"/>
          <w:sz w:val="22"/>
          <w:szCs w:val="22"/>
        </w:rPr>
      </w:pPr>
    </w:p>
    <w:p w14:paraId="62857383" w14:textId="77777777" w:rsidR="00DE3C06" w:rsidRDefault="00DE3C06" w:rsidP="00DE3C06">
      <w:pPr>
        <w:pStyle w:val="Prrafodelista"/>
        <w:rPr>
          <w:rFonts w:cs="Tahoma"/>
          <w:sz w:val="22"/>
          <w:szCs w:val="22"/>
        </w:rPr>
      </w:pPr>
    </w:p>
    <w:p w14:paraId="34AD4893" w14:textId="77777777" w:rsidR="00DE3C06" w:rsidRDefault="00DE3C06" w:rsidP="00DE3C06">
      <w:pPr>
        <w:pStyle w:val="Prrafodelista"/>
        <w:rPr>
          <w:rFonts w:cs="Tahoma"/>
          <w:sz w:val="22"/>
          <w:szCs w:val="22"/>
        </w:rPr>
      </w:pPr>
    </w:p>
    <w:p w14:paraId="76C5FD06" w14:textId="77777777" w:rsidR="00DE3C06" w:rsidRDefault="00DE3C06" w:rsidP="00DE3C06">
      <w:pPr>
        <w:pStyle w:val="Prrafodelista"/>
        <w:rPr>
          <w:rFonts w:cs="Tahoma"/>
          <w:sz w:val="22"/>
          <w:szCs w:val="22"/>
        </w:rPr>
      </w:pPr>
    </w:p>
    <w:p w14:paraId="2488D647" w14:textId="77777777" w:rsidR="00DE3C06" w:rsidRPr="000C5171" w:rsidRDefault="00DE3C06" w:rsidP="00DE3C06">
      <w:pPr>
        <w:pStyle w:val="Prrafodelista"/>
        <w:rPr>
          <w:rFonts w:cs="Tahoma"/>
          <w:sz w:val="22"/>
          <w:szCs w:val="22"/>
        </w:rPr>
      </w:pPr>
    </w:p>
    <w:p w14:paraId="30912874" w14:textId="77777777" w:rsidR="00DE3C06" w:rsidRPr="000C5171" w:rsidRDefault="00DE3C06" w:rsidP="00DE3C06">
      <w:pPr>
        <w:spacing w:line="276" w:lineRule="auto"/>
        <w:jc w:val="center"/>
        <w:rPr>
          <w:rFonts w:cs="Arial"/>
          <w:sz w:val="22"/>
          <w:szCs w:val="22"/>
        </w:rPr>
      </w:pPr>
      <w:bookmarkStart w:id="49" w:name="_Hlk234158132"/>
      <w:r w:rsidRPr="000C5171">
        <w:rPr>
          <w:rFonts w:cs="Arial"/>
          <w:b/>
          <w:bCs/>
          <w:sz w:val="22"/>
          <w:szCs w:val="22"/>
        </w:rPr>
        <w:t xml:space="preserve">Tabla 17. </w:t>
      </w:r>
      <w:r w:rsidRPr="000C5171">
        <w:rPr>
          <w:rFonts w:cs="Arial"/>
          <w:sz w:val="22"/>
          <w:szCs w:val="22"/>
        </w:rPr>
        <w:t>Acciones de Tutela</w:t>
      </w:r>
    </w:p>
    <w:tbl>
      <w:tblPr>
        <w:tblW w:w="4632" w:type="pct"/>
        <w:tblInd w:w="665" w:type="dxa"/>
        <w:tblCellMar>
          <w:left w:w="70" w:type="dxa"/>
          <w:right w:w="70" w:type="dxa"/>
        </w:tblCellMar>
        <w:tblLook w:val="04A0" w:firstRow="1" w:lastRow="0" w:firstColumn="1" w:lastColumn="0" w:noHBand="0" w:noVBand="1"/>
      </w:tblPr>
      <w:tblGrid>
        <w:gridCol w:w="987"/>
        <w:gridCol w:w="2458"/>
        <w:gridCol w:w="1070"/>
        <w:gridCol w:w="1488"/>
        <w:gridCol w:w="2175"/>
      </w:tblGrid>
      <w:tr w:rsidR="00DE3C06" w:rsidRPr="000C5171" w14:paraId="68DF5386" w14:textId="77777777" w:rsidTr="008A49D0">
        <w:trPr>
          <w:trHeight w:val="616"/>
        </w:trPr>
        <w:tc>
          <w:tcPr>
            <w:tcW w:w="603" w:type="pct"/>
            <w:tcBorders>
              <w:top w:val="single" w:sz="4" w:space="0" w:color="auto"/>
              <w:left w:val="single" w:sz="4" w:space="0" w:color="auto"/>
              <w:bottom w:val="single" w:sz="4" w:space="0" w:color="auto"/>
              <w:right w:val="single" w:sz="4" w:space="0" w:color="auto"/>
            </w:tcBorders>
            <w:shd w:val="clear" w:color="auto" w:fill="C1F0C7" w:themeFill="accent3" w:themeFillTint="33"/>
            <w:noWrap/>
            <w:vAlign w:val="center"/>
            <w:hideMark/>
          </w:tcPr>
          <w:bookmarkEnd w:id="49"/>
          <w:p w14:paraId="4BC9A8A1" w14:textId="77777777" w:rsidR="00DE3C06" w:rsidRPr="000C5171" w:rsidRDefault="00DE3C06" w:rsidP="008A49D0">
            <w:pPr>
              <w:spacing w:after="0" w:line="240" w:lineRule="auto"/>
              <w:jc w:val="center"/>
              <w:rPr>
                <w:rFonts w:eastAsia="Times New Roman" w:cs="Arial"/>
                <w:b/>
                <w:bCs/>
                <w:color w:val="275317" w:themeColor="accent6" w:themeShade="80"/>
                <w:sz w:val="20"/>
                <w:szCs w:val="20"/>
                <w:lang w:eastAsia="es-CO"/>
              </w:rPr>
            </w:pPr>
            <w:r w:rsidRPr="000C5171">
              <w:rPr>
                <w:rFonts w:eastAsia="Times New Roman" w:cs="Arial"/>
                <w:b/>
                <w:bCs/>
                <w:color w:val="275317" w:themeColor="accent6" w:themeShade="80"/>
                <w:sz w:val="20"/>
                <w:szCs w:val="20"/>
                <w:lang w:eastAsia="es-CO"/>
              </w:rPr>
              <w:t xml:space="preserve">Año </w:t>
            </w:r>
          </w:p>
        </w:tc>
        <w:tc>
          <w:tcPr>
            <w:tcW w:w="1503" w:type="pct"/>
            <w:tcBorders>
              <w:top w:val="single" w:sz="4" w:space="0" w:color="auto"/>
              <w:left w:val="nil"/>
              <w:bottom w:val="single" w:sz="4" w:space="0" w:color="auto"/>
              <w:right w:val="single" w:sz="4" w:space="0" w:color="auto"/>
            </w:tcBorders>
            <w:shd w:val="clear" w:color="auto" w:fill="C1F0C7" w:themeFill="accent3" w:themeFillTint="33"/>
            <w:vAlign w:val="center"/>
            <w:hideMark/>
          </w:tcPr>
          <w:p w14:paraId="12571510" w14:textId="77777777" w:rsidR="00DE3C06" w:rsidRPr="000C5171" w:rsidRDefault="00DE3C06" w:rsidP="008A49D0">
            <w:pPr>
              <w:spacing w:after="0" w:line="240" w:lineRule="auto"/>
              <w:jc w:val="center"/>
              <w:rPr>
                <w:rFonts w:eastAsia="Times New Roman" w:cs="Arial"/>
                <w:b/>
                <w:bCs/>
                <w:color w:val="275317" w:themeColor="accent6" w:themeShade="80"/>
                <w:sz w:val="20"/>
                <w:szCs w:val="20"/>
                <w:lang w:eastAsia="es-CO"/>
              </w:rPr>
            </w:pPr>
            <w:r w:rsidRPr="000C5171">
              <w:rPr>
                <w:rFonts w:eastAsia="Times New Roman" w:cs="Arial"/>
                <w:b/>
                <w:bCs/>
                <w:color w:val="275317" w:themeColor="accent6" w:themeShade="80"/>
                <w:sz w:val="20"/>
                <w:szCs w:val="20"/>
                <w:lang w:eastAsia="es-CO"/>
              </w:rPr>
              <w:t xml:space="preserve">Acciones de tutela notificadas </w:t>
            </w:r>
          </w:p>
        </w:tc>
        <w:tc>
          <w:tcPr>
            <w:tcW w:w="654" w:type="pct"/>
            <w:tcBorders>
              <w:top w:val="single" w:sz="4" w:space="0" w:color="auto"/>
              <w:left w:val="nil"/>
              <w:bottom w:val="single" w:sz="4" w:space="0" w:color="auto"/>
              <w:right w:val="single" w:sz="4" w:space="0" w:color="auto"/>
            </w:tcBorders>
            <w:shd w:val="clear" w:color="auto" w:fill="C1F0C7" w:themeFill="accent3" w:themeFillTint="33"/>
            <w:vAlign w:val="center"/>
            <w:hideMark/>
          </w:tcPr>
          <w:p w14:paraId="31CFC1DB" w14:textId="77777777" w:rsidR="00DE3C06" w:rsidRPr="000C5171" w:rsidRDefault="00DE3C06" w:rsidP="008A49D0">
            <w:pPr>
              <w:spacing w:after="0" w:line="240" w:lineRule="auto"/>
              <w:jc w:val="center"/>
              <w:rPr>
                <w:rFonts w:eastAsia="Times New Roman" w:cs="Arial"/>
                <w:b/>
                <w:bCs/>
                <w:color w:val="275317" w:themeColor="accent6" w:themeShade="80"/>
                <w:sz w:val="20"/>
                <w:szCs w:val="20"/>
                <w:lang w:eastAsia="es-CO"/>
              </w:rPr>
            </w:pPr>
            <w:r w:rsidRPr="000C5171">
              <w:rPr>
                <w:rFonts w:eastAsia="Times New Roman" w:cs="Arial"/>
                <w:b/>
                <w:bCs/>
                <w:color w:val="275317" w:themeColor="accent6" w:themeShade="80"/>
                <w:sz w:val="20"/>
                <w:szCs w:val="20"/>
                <w:lang w:eastAsia="es-CO"/>
              </w:rPr>
              <w:t>Favorable</w:t>
            </w:r>
          </w:p>
        </w:tc>
        <w:tc>
          <w:tcPr>
            <w:tcW w:w="910" w:type="pct"/>
            <w:tcBorders>
              <w:top w:val="single" w:sz="4" w:space="0" w:color="auto"/>
              <w:left w:val="nil"/>
              <w:bottom w:val="single" w:sz="4" w:space="0" w:color="auto"/>
              <w:right w:val="single" w:sz="4" w:space="0" w:color="auto"/>
            </w:tcBorders>
            <w:shd w:val="clear" w:color="auto" w:fill="C1F0C7" w:themeFill="accent3" w:themeFillTint="33"/>
            <w:vAlign w:val="center"/>
            <w:hideMark/>
          </w:tcPr>
          <w:p w14:paraId="0A4CCD7F" w14:textId="77777777" w:rsidR="00DE3C06" w:rsidRPr="000C5171" w:rsidRDefault="00DE3C06" w:rsidP="008A49D0">
            <w:pPr>
              <w:spacing w:after="0" w:line="240" w:lineRule="auto"/>
              <w:jc w:val="center"/>
              <w:rPr>
                <w:rFonts w:eastAsia="Times New Roman" w:cs="Arial"/>
                <w:b/>
                <w:bCs/>
                <w:color w:val="275317" w:themeColor="accent6" w:themeShade="80"/>
                <w:sz w:val="20"/>
                <w:szCs w:val="20"/>
                <w:lang w:eastAsia="es-CO"/>
              </w:rPr>
            </w:pPr>
            <w:r w:rsidRPr="000C5171">
              <w:rPr>
                <w:rFonts w:eastAsia="Times New Roman" w:cs="Arial"/>
                <w:b/>
                <w:bCs/>
                <w:color w:val="275317" w:themeColor="accent6" w:themeShade="80"/>
                <w:sz w:val="20"/>
                <w:szCs w:val="20"/>
                <w:lang w:eastAsia="es-CO"/>
              </w:rPr>
              <w:t xml:space="preserve">Desfavorable </w:t>
            </w:r>
          </w:p>
        </w:tc>
        <w:tc>
          <w:tcPr>
            <w:tcW w:w="1330" w:type="pct"/>
            <w:tcBorders>
              <w:top w:val="single" w:sz="4" w:space="0" w:color="auto"/>
              <w:left w:val="nil"/>
              <w:bottom w:val="single" w:sz="4" w:space="0" w:color="auto"/>
              <w:right w:val="single" w:sz="4" w:space="0" w:color="auto"/>
            </w:tcBorders>
            <w:shd w:val="clear" w:color="auto" w:fill="C1F0C7" w:themeFill="accent3" w:themeFillTint="33"/>
            <w:vAlign w:val="center"/>
            <w:hideMark/>
          </w:tcPr>
          <w:p w14:paraId="3F7439EF" w14:textId="77777777" w:rsidR="00DE3C06" w:rsidRPr="000C5171" w:rsidRDefault="00DE3C06" w:rsidP="008A49D0">
            <w:pPr>
              <w:spacing w:after="0" w:line="240" w:lineRule="auto"/>
              <w:jc w:val="center"/>
              <w:rPr>
                <w:rFonts w:eastAsia="Times New Roman" w:cs="Arial"/>
                <w:b/>
                <w:bCs/>
                <w:color w:val="275317" w:themeColor="accent6" w:themeShade="80"/>
                <w:sz w:val="20"/>
                <w:szCs w:val="20"/>
                <w:lang w:eastAsia="es-CO"/>
              </w:rPr>
            </w:pPr>
            <w:r w:rsidRPr="000C5171">
              <w:rPr>
                <w:rFonts w:eastAsia="Times New Roman" w:cs="Arial"/>
                <w:b/>
                <w:bCs/>
                <w:color w:val="275317" w:themeColor="accent6" w:themeShade="80"/>
                <w:sz w:val="20"/>
                <w:szCs w:val="20"/>
                <w:lang w:eastAsia="es-CO"/>
              </w:rPr>
              <w:t xml:space="preserve">Pendientes de notificación de decisión </w:t>
            </w:r>
          </w:p>
        </w:tc>
      </w:tr>
      <w:tr w:rsidR="00DE3C06" w:rsidRPr="000C5171" w14:paraId="31B5CDFF" w14:textId="77777777" w:rsidTr="008A49D0">
        <w:trPr>
          <w:trHeight w:val="205"/>
        </w:trPr>
        <w:tc>
          <w:tcPr>
            <w:tcW w:w="603" w:type="pct"/>
            <w:tcBorders>
              <w:top w:val="nil"/>
              <w:left w:val="single" w:sz="4" w:space="0" w:color="auto"/>
              <w:bottom w:val="single" w:sz="4" w:space="0" w:color="auto"/>
              <w:right w:val="single" w:sz="4" w:space="0" w:color="auto"/>
            </w:tcBorders>
            <w:noWrap/>
            <w:vAlign w:val="center"/>
            <w:hideMark/>
          </w:tcPr>
          <w:p w14:paraId="5A942361" w14:textId="77777777" w:rsidR="00DE3C06" w:rsidRPr="000C5171" w:rsidRDefault="00DE3C06" w:rsidP="008A49D0">
            <w:pPr>
              <w:spacing w:after="0" w:line="240" w:lineRule="auto"/>
              <w:jc w:val="center"/>
              <w:rPr>
                <w:rFonts w:eastAsia="Times New Roman" w:cs="Arial"/>
                <w:color w:val="275317" w:themeColor="accent6" w:themeShade="80"/>
                <w:sz w:val="20"/>
                <w:szCs w:val="20"/>
                <w:lang w:eastAsia="es-CO"/>
              </w:rPr>
            </w:pPr>
            <w:r w:rsidRPr="000C5171">
              <w:rPr>
                <w:rFonts w:eastAsia="Times New Roman" w:cs="Arial"/>
                <w:color w:val="275317" w:themeColor="accent6" w:themeShade="80"/>
                <w:sz w:val="20"/>
                <w:szCs w:val="20"/>
                <w:lang w:eastAsia="es-CO"/>
              </w:rPr>
              <w:lastRenderedPageBreak/>
              <w:t>2022</w:t>
            </w:r>
            <w:r w:rsidRPr="000C5171">
              <w:rPr>
                <w:rStyle w:val="Refdenotaalpie"/>
                <w:rFonts w:eastAsia="Times New Roman" w:cs="Arial"/>
                <w:color w:val="275317" w:themeColor="accent6" w:themeShade="80"/>
                <w:sz w:val="20"/>
                <w:szCs w:val="20"/>
                <w:lang w:eastAsia="es-CO"/>
              </w:rPr>
              <w:footnoteReference w:id="39"/>
            </w:r>
          </w:p>
        </w:tc>
        <w:tc>
          <w:tcPr>
            <w:tcW w:w="1503" w:type="pct"/>
            <w:tcBorders>
              <w:top w:val="nil"/>
              <w:left w:val="nil"/>
              <w:bottom w:val="single" w:sz="4" w:space="0" w:color="auto"/>
              <w:right w:val="single" w:sz="4" w:space="0" w:color="auto"/>
            </w:tcBorders>
            <w:noWrap/>
            <w:vAlign w:val="center"/>
            <w:hideMark/>
          </w:tcPr>
          <w:p w14:paraId="001E2911" w14:textId="77777777" w:rsidR="00DE3C06" w:rsidRPr="000C5171" w:rsidRDefault="00DE3C06" w:rsidP="008A49D0">
            <w:pPr>
              <w:spacing w:after="0" w:line="240" w:lineRule="auto"/>
              <w:jc w:val="center"/>
              <w:rPr>
                <w:rFonts w:eastAsia="Times New Roman" w:cs="Arial"/>
                <w:color w:val="275317" w:themeColor="accent6" w:themeShade="80"/>
                <w:sz w:val="20"/>
                <w:szCs w:val="20"/>
                <w:lang w:eastAsia="es-CO"/>
              </w:rPr>
            </w:pPr>
            <w:r w:rsidRPr="000C5171">
              <w:rPr>
                <w:rFonts w:eastAsia="Times New Roman" w:cs="Arial"/>
                <w:color w:val="275317" w:themeColor="accent6" w:themeShade="80"/>
                <w:sz w:val="20"/>
                <w:szCs w:val="20"/>
                <w:lang w:eastAsia="es-CO"/>
              </w:rPr>
              <w:t>23</w:t>
            </w:r>
          </w:p>
        </w:tc>
        <w:tc>
          <w:tcPr>
            <w:tcW w:w="654" w:type="pct"/>
            <w:tcBorders>
              <w:top w:val="nil"/>
              <w:left w:val="nil"/>
              <w:bottom w:val="single" w:sz="4" w:space="0" w:color="auto"/>
              <w:right w:val="single" w:sz="4" w:space="0" w:color="auto"/>
            </w:tcBorders>
            <w:noWrap/>
            <w:vAlign w:val="center"/>
            <w:hideMark/>
          </w:tcPr>
          <w:p w14:paraId="201A2913" w14:textId="77777777" w:rsidR="00DE3C06" w:rsidRPr="000C5171" w:rsidRDefault="00DE3C06" w:rsidP="008A49D0">
            <w:pPr>
              <w:spacing w:after="0" w:line="240" w:lineRule="auto"/>
              <w:jc w:val="center"/>
              <w:rPr>
                <w:rFonts w:eastAsia="Times New Roman" w:cs="Arial"/>
                <w:color w:val="275317" w:themeColor="accent6" w:themeShade="80"/>
                <w:sz w:val="20"/>
                <w:szCs w:val="20"/>
                <w:lang w:eastAsia="es-CO"/>
              </w:rPr>
            </w:pPr>
            <w:r w:rsidRPr="000C5171">
              <w:rPr>
                <w:rFonts w:eastAsia="Times New Roman" w:cs="Arial"/>
                <w:color w:val="275317" w:themeColor="accent6" w:themeShade="80"/>
                <w:sz w:val="20"/>
                <w:szCs w:val="20"/>
                <w:lang w:eastAsia="es-CO"/>
              </w:rPr>
              <w:t>22</w:t>
            </w:r>
          </w:p>
        </w:tc>
        <w:tc>
          <w:tcPr>
            <w:tcW w:w="910" w:type="pct"/>
            <w:tcBorders>
              <w:top w:val="nil"/>
              <w:left w:val="nil"/>
              <w:bottom w:val="single" w:sz="4" w:space="0" w:color="auto"/>
              <w:right w:val="single" w:sz="4" w:space="0" w:color="auto"/>
            </w:tcBorders>
            <w:noWrap/>
            <w:vAlign w:val="center"/>
            <w:hideMark/>
          </w:tcPr>
          <w:p w14:paraId="26A684B7" w14:textId="77777777" w:rsidR="00DE3C06" w:rsidRPr="000C5171" w:rsidRDefault="00DE3C06" w:rsidP="008A49D0">
            <w:pPr>
              <w:spacing w:after="0" w:line="240" w:lineRule="auto"/>
              <w:jc w:val="center"/>
              <w:rPr>
                <w:rFonts w:eastAsia="Times New Roman" w:cs="Arial"/>
                <w:color w:val="275317" w:themeColor="accent6" w:themeShade="80"/>
                <w:sz w:val="20"/>
                <w:szCs w:val="20"/>
                <w:lang w:eastAsia="es-CO"/>
              </w:rPr>
            </w:pPr>
            <w:r w:rsidRPr="000C5171">
              <w:rPr>
                <w:rFonts w:eastAsia="Times New Roman" w:cs="Arial"/>
                <w:color w:val="275317" w:themeColor="accent6" w:themeShade="80"/>
                <w:sz w:val="20"/>
                <w:szCs w:val="20"/>
                <w:lang w:eastAsia="es-CO"/>
              </w:rPr>
              <w:t>1</w:t>
            </w:r>
          </w:p>
        </w:tc>
        <w:tc>
          <w:tcPr>
            <w:tcW w:w="1330" w:type="pct"/>
            <w:tcBorders>
              <w:top w:val="nil"/>
              <w:left w:val="nil"/>
              <w:bottom w:val="single" w:sz="4" w:space="0" w:color="auto"/>
              <w:right w:val="single" w:sz="4" w:space="0" w:color="auto"/>
            </w:tcBorders>
            <w:noWrap/>
            <w:vAlign w:val="center"/>
            <w:hideMark/>
          </w:tcPr>
          <w:p w14:paraId="5D3E14EE" w14:textId="77777777" w:rsidR="00DE3C06" w:rsidRPr="000C5171" w:rsidRDefault="00DE3C06" w:rsidP="008A49D0">
            <w:pPr>
              <w:spacing w:after="0" w:line="240" w:lineRule="auto"/>
              <w:jc w:val="center"/>
              <w:rPr>
                <w:rFonts w:eastAsia="Times New Roman" w:cs="Arial"/>
                <w:color w:val="275317" w:themeColor="accent6" w:themeShade="80"/>
                <w:sz w:val="20"/>
                <w:szCs w:val="20"/>
                <w:lang w:eastAsia="es-CO"/>
              </w:rPr>
            </w:pPr>
            <w:r w:rsidRPr="000C5171">
              <w:rPr>
                <w:rFonts w:eastAsia="Times New Roman" w:cs="Arial"/>
                <w:color w:val="275317" w:themeColor="accent6" w:themeShade="80"/>
                <w:sz w:val="20"/>
                <w:szCs w:val="20"/>
                <w:lang w:eastAsia="es-CO"/>
              </w:rPr>
              <w:t>0</w:t>
            </w:r>
          </w:p>
        </w:tc>
      </w:tr>
      <w:tr w:rsidR="00DE3C06" w:rsidRPr="000C5171" w14:paraId="2F7C3EF8" w14:textId="77777777" w:rsidTr="008A49D0">
        <w:trPr>
          <w:trHeight w:val="205"/>
        </w:trPr>
        <w:tc>
          <w:tcPr>
            <w:tcW w:w="603" w:type="pct"/>
            <w:tcBorders>
              <w:top w:val="nil"/>
              <w:left w:val="single" w:sz="4" w:space="0" w:color="auto"/>
              <w:bottom w:val="single" w:sz="4" w:space="0" w:color="auto"/>
              <w:right w:val="single" w:sz="4" w:space="0" w:color="auto"/>
            </w:tcBorders>
            <w:noWrap/>
            <w:vAlign w:val="center"/>
            <w:hideMark/>
          </w:tcPr>
          <w:p w14:paraId="26AC79D1" w14:textId="77777777" w:rsidR="00DE3C06" w:rsidRPr="000C5171" w:rsidRDefault="00DE3C06" w:rsidP="008A49D0">
            <w:pPr>
              <w:spacing w:after="0" w:line="240" w:lineRule="auto"/>
              <w:jc w:val="center"/>
              <w:rPr>
                <w:rFonts w:eastAsia="Times New Roman" w:cs="Arial"/>
                <w:color w:val="275317" w:themeColor="accent6" w:themeShade="80"/>
                <w:sz w:val="20"/>
                <w:szCs w:val="20"/>
                <w:lang w:eastAsia="es-CO"/>
              </w:rPr>
            </w:pPr>
            <w:r w:rsidRPr="000C5171">
              <w:rPr>
                <w:rFonts w:eastAsia="Times New Roman" w:cs="Arial"/>
                <w:color w:val="275317" w:themeColor="accent6" w:themeShade="80"/>
                <w:sz w:val="20"/>
                <w:szCs w:val="20"/>
                <w:lang w:eastAsia="es-CO"/>
              </w:rPr>
              <w:t>2023</w:t>
            </w:r>
          </w:p>
        </w:tc>
        <w:tc>
          <w:tcPr>
            <w:tcW w:w="1503" w:type="pct"/>
            <w:tcBorders>
              <w:top w:val="nil"/>
              <w:left w:val="nil"/>
              <w:bottom w:val="single" w:sz="4" w:space="0" w:color="auto"/>
              <w:right w:val="single" w:sz="4" w:space="0" w:color="auto"/>
            </w:tcBorders>
            <w:noWrap/>
            <w:vAlign w:val="center"/>
            <w:hideMark/>
          </w:tcPr>
          <w:p w14:paraId="41CA1A05" w14:textId="77777777" w:rsidR="00DE3C06" w:rsidRPr="000C5171" w:rsidRDefault="00DE3C06" w:rsidP="008A49D0">
            <w:pPr>
              <w:spacing w:after="0" w:line="240" w:lineRule="auto"/>
              <w:jc w:val="center"/>
              <w:rPr>
                <w:rFonts w:eastAsia="Times New Roman" w:cs="Arial"/>
                <w:color w:val="275317" w:themeColor="accent6" w:themeShade="80"/>
                <w:sz w:val="20"/>
                <w:szCs w:val="20"/>
                <w:lang w:eastAsia="es-CO"/>
              </w:rPr>
            </w:pPr>
            <w:r w:rsidRPr="000C5171">
              <w:rPr>
                <w:rFonts w:eastAsia="Times New Roman" w:cs="Arial"/>
                <w:color w:val="275317" w:themeColor="accent6" w:themeShade="80"/>
                <w:sz w:val="20"/>
                <w:szCs w:val="20"/>
                <w:lang w:eastAsia="es-CO"/>
              </w:rPr>
              <w:t>109</w:t>
            </w:r>
          </w:p>
        </w:tc>
        <w:tc>
          <w:tcPr>
            <w:tcW w:w="654" w:type="pct"/>
            <w:tcBorders>
              <w:top w:val="nil"/>
              <w:left w:val="nil"/>
              <w:bottom w:val="single" w:sz="4" w:space="0" w:color="auto"/>
              <w:right w:val="single" w:sz="4" w:space="0" w:color="auto"/>
            </w:tcBorders>
            <w:noWrap/>
            <w:vAlign w:val="center"/>
            <w:hideMark/>
          </w:tcPr>
          <w:p w14:paraId="01551C85" w14:textId="77777777" w:rsidR="00DE3C06" w:rsidRPr="000C5171" w:rsidRDefault="00DE3C06" w:rsidP="008A49D0">
            <w:pPr>
              <w:spacing w:after="0" w:line="240" w:lineRule="auto"/>
              <w:jc w:val="center"/>
              <w:rPr>
                <w:rFonts w:eastAsia="Times New Roman" w:cs="Arial"/>
                <w:color w:val="275317" w:themeColor="accent6" w:themeShade="80"/>
                <w:sz w:val="20"/>
                <w:szCs w:val="20"/>
                <w:lang w:eastAsia="es-CO"/>
              </w:rPr>
            </w:pPr>
            <w:r w:rsidRPr="000C5171">
              <w:rPr>
                <w:rFonts w:eastAsia="Times New Roman" w:cs="Arial"/>
                <w:color w:val="275317" w:themeColor="accent6" w:themeShade="80"/>
                <w:sz w:val="20"/>
                <w:szCs w:val="20"/>
                <w:lang w:eastAsia="es-CO"/>
              </w:rPr>
              <w:t>89</w:t>
            </w:r>
          </w:p>
        </w:tc>
        <w:tc>
          <w:tcPr>
            <w:tcW w:w="910" w:type="pct"/>
            <w:tcBorders>
              <w:top w:val="nil"/>
              <w:left w:val="nil"/>
              <w:bottom w:val="single" w:sz="4" w:space="0" w:color="auto"/>
              <w:right w:val="single" w:sz="4" w:space="0" w:color="auto"/>
            </w:tcBorders>
            <w:noWrap/>
            <w:vAlign w:val="center"/>
            <w:hideMark/>
          </w:tcPr>
          <w:p w14:paraId="3933C09B" w14:textId="77777777" w:rsidR="00DE3C06" w:rsidRPr="000C5171" w:rsidRDefault="00DE3C06" w:rsidP="008A49D0">
            <w:pPr>
              <w:spacing w:after="0" w:line="240" w:lineRule="auto"/>
              <w:jc w:val="center"/>
              <w:rPr>
                <w:rFonts w:eastAsia="Times New Roman" w:cs="Arial"/>
                <w:color w:val="275317" w:themeColor="accent6" w:themeShade="80"/>
                <w:sz w:val="20"/>
                <w:szCs w:val="20"/>
                <w:lang w:eastAsia="es-CO"/>
              </w:rPr>
            </w:pPr>
            <w:r w:rsidRPr="000C5171">
              <w:rPr>
                <w:rFonts w:eastAsia="Times New Roman" w:cs="Arial"/>
                <w:color w:val="275317" w:themeColor="accent6" w:themeShade="80"/>
                <w:sz w:val="20"/>
                <w:szCs w:val="20"/>
                <w:lang w:eastAsia="es-CO"/>
              </w:rPr>
              <w:t>20</w:t>
            </w:r>
          </w:p>
        </w:tc>
        <w:tc>
          <w:tcPr>
            <w:tcW w:w="1330" w:type="pct"/>
            <w:tcBorders>
              <w:top w:val="nil"/>
              <w:left w:val="nil"/>
              <w:bottom w:val="single" w:sz="4" w:space="0" w:color="auto"/>
              <w:right w:val="single" w:sz="4" w:space="0" w:color="auto"/>
            </w:tcBorders>
            <w:noWrap/>
            <w:vAlign w:val="center"/>
            <w:hideMark/>
          </w:tcPr>
          <w:p w14:paraId="1170CD2F" w14:textId="77777777" w:rsidR="00DE3C06" w:rsidRPr="000C5171" w:rsidRDefault="00DE3C06" w:rsidP="008A49D0">
            <w:pPr>
              <w:spacing w:after="0" w:line="240" w:lineRule="auto"/>
              <w:jc w:val="center"/>
              <w:rPr>
                <w:rFonts w:eastAsia="Times New Roman" w:cs="Arial"/>
                <w:color w:val="275317" w:themeColor="accent6" w:themeShade="80"/>
                <w:sz w:val="20"/>
                <w:szCs w:val="20"/>
                <w:lang w:eastAsia="es-CO"/>
              </w:rPr>
            </w:pPr>
            <w:r w:rsidRPr="000C5171">
              <w:rPr>
                <w:rFonts w:eastAsia="Times New Roman" w:cs="Arial"/>
                <w:color w:val="275317" w:themeColor="accent6" w:themeShade="80"/>
                <w:sz w:val="20"/>
                <w:szCs w:val="20"/>
                <w:lang w:eastAsia="es-CO"/>
              </w:rPr>
              <w:t>0</w:t>
            </w:r>
          </w:p>
        </w:tc>
      </w:tr>
      <w:tr w:rsidR="00DE3C06" w:rsidRPr="000C5171" w14:paraId="0D64140D" w14:textId="77777777" w:rsidTr="008A49D0">
        <w:trPr>
          <w:trHeight w:val="205"/>
        </w:trPr>
        <w:tc>
          <w:tcPr>
            <w:tcW w:w="603" w:type="pct"/>
            <w:tcBorders>
              <w:top w:val="nil"/>
              <w:left w:val="single" w:sz="4" w:space="0" w:color="auto"/>
              <w:bottom w:val="single" w:sz="4" w:space="0" w:color="auto"/>
              <w:right w:val="single" w:sz="4" w:space="0" w:color="auto"/>
            </w:tcBorders>
            <w:noWrap/>
            <w:vAlign w:val="center"/>
            <w:hideMark/>
          </w:tcPr>
          <w:p w14:paraId="4C888117" w14:textId="77777777" w:rsidR="00DE3C06" w:rsidRPr="000C5171" w:rsidRDefault="00DE3C06" w:rsidP="008A49D0">
            <w:pPr>
              <w:spacing w:after="0" w:line="240" w:lineRule="auto"/>
              <w:jc w:val="center"/>
              <w:rPr>
                <w:rFonts w:eastAsia="Times New Roman" w:cs="Arial"/>
                <w:color w:val="275317" w:themeColor="accent6" w:themeShade="80"/>
                <w:sz w:val="20"/>
                <w:szCs w:val="20"/>
                <w:lang w:eastAsia="es-CO"/>
              </w:rPr>
            </w:pPr>
            <w:r w:rsidRPr="000C5171">
              <w:rPr>
                <w:rFonts w:eastAsia="Times New Roman" w:cs="Arial"/>
                <w:color w:val="275317" w:themeColor="accent6" w:themeShade="80"/>
                <w:sz w:val="20"/>
                <w:szCs w:val="20"/>
                <w:lang w:eastAsia="es-CO"/>
              </w:rPr>
              <w:t>2024</w:t>
            </w:r>
          </w:p>
        </w:tc>
        <w:tc>
          <w:tcPr>
            <w:tcW w:w="1503" w:type="pct"/>
            <w:tcBorders>
              <w:top w:val="nil"/>
              <w:left w:val="nil"/>
              <w:bottom w:val="single" w:sz="4" w:space="0" w:color="auto"/>
              <w:right w:val="single" w:sz="4" w:space="0" w:color="auto"/>
            </w:tcBorders>
            <w:noWrap/>
            <w:vAlign w:val="center"/>
            <w:hideMark/>
          </w:tcPr>
          <w:p w14:paraId="2BCD36C2" w14:textId="77777777" w:rsidR="00DE3C06" w:rsidRPr="000C5171" w:rsidRDefault="00DE3C06" w:rsidP="008A49D0">
            <w:pPr>
              <w:spacing w:after="0" w:line="240" w:lineRule="auto"/>
              <w:jc w:val="center"/>
              <w:rPr>
                <w:rFonts w:eastAsia="Times New Roman" w:cs="Arial"/>
                <w:color w:val="275317" w:themeColor="accent6" w:themeShade="80"/>
                <w:sz w:val="20"/>
                <w:szCs w:val="20"/>
                <w:lang w:eastAsia="es-CO"/>
              </w:rPr>
            </w:pPr>
            <w:r w:rsidRPr="000C5171">
              <w:rPr>
                <w:rFonts w:eastAsia="Times New Roman" w:cs="Arial"/>
                <w:color w:val="275317" w:themeColor="accent6" w:themeShade="80"/>
                <w:sz w:val="20"/>
                <w:szCs w:val="20"/>
                <w:lang w:eastAsia="es-CO"/>
              </w:rPr>
              <w:t>88</w:t>
            </w:r>
          </w:p>
        </w:tc>
        <w:tc>
          <w:tcPr>
            <w:tcW w:w="654" w:type="pct"/>
            <w:tcBorders>
              <w:top w:val="nil"/>
              <w:left w:val="nil"/>
              <w:bottom w:val="single" w:sz="4" w:space="0" w:color="auto"/>
              <w:right w:val="single" w:sz="4" w:space="0" w:color="auto"/>
            </w:tcBorders>
            <w:noWrap/>
            <w:vAlign w:val="center"/>
            <w:hideMark/>
          </w:tcPr>
          <w:p w14:paraId="7ABA7D6D" w14:textId="77777777" w:rsidR="00DE3C06" w:rsidRPr="000C5171" w:rsidRDefault="00DE3C06" w:rsidP="008A49D0">
            <w:pPr>
              <w:spacing w:after="0" w:line="240" w:lineRule="auto"/>
              <w:jc w:val="center"/>
              <w:rPr>
                <w:rFonts w:eastAsia="Times New Roman" w:cs="Arial"/>
                <w:color w:val="275317" w:themeColor="accent6" w:themeShade="80"/>
                <w:sz w:val="20"/>
                <w:szCs w:val="20"/>
                <w:lang w:eastAsia="es-CO"/>
              </w:rPr>
            </w:pPr>
            <w:r w:rsidRPr="000C5171">
              <w:rPr>
                <w:rFonts w:eastAsia="Times New Roman" w:cs="Arial"/>
                <w:color w:val="275317" w:themeColor="accent6" w:themeShade="80"/>
                <w:sz w:val="20"/>
                <w:szCs w:val="20"/>
                <w:lang w:eastAsia="es-CO"/>
              </w:rPr>
              <w:t>76</w:t>
            </w:r>
          </w:p>
        </w:tc>
        <w:tc>
          <w:tcPr>
            <w:tcW w:w="910" w:type="pct"/>
            <w:tcBorders>
              <w:top w:val="nil"/>
              <w:left w:val="nil"/>
              <w:bottom w:val="single" w:sz="4" w:space="0" w:color="auto"/>
              <w:right w:val="single" w:sz="4" w:space="0" w:color="auto"/>
            </w:tcBorders>
            <w:noWrap/>
            <w:vAlign w:val="center"/>
            <w:hideMark/>
          </w:tcPr>
          <w:p w14:paraId="5F6AAD57" w14:textId="77777777" w:rsidR="00DE3C06" w:rsidRPr="000C5171" w:rsidRDefault="00DE3C06" w:rsidP="008A49D0">
            <w:pPr>
              <w:spacing w:after="0" w:line="240" w:lineRule="auto"/>
              <w:jc w:val="center"/>
              <w:rPr>
                <w:rFonts w:eastAsia="Times New Roman" w:cs="Arial"/>
                <w:color w:val="275317" w:themeColor="accent6" w:themeShade="80"/>
                <w:sz w:val="20"/>
                <w:szCs w:val="20"/>
                <w:lang w:eastAsia="es-CO"/>
              </w:rPr>
            </w:pPr>
            <w:r w:rsidRPr="000C5171">
              <w:rPr>
                <w:rFonts w:eastAsia="Times New Roman" w:cs="Arial"/>
                <w:color w:val="275317" w:themeColor="accent6" w:themeShade="80"/>
                <w:sz w:val="20"/>
                <w:szCs w:val="20"/>
                <w:lang w:eastAsia="es-CO"/>
              </w:rPr>
              <w:t>12</w:t>
            </w:r>
          </w:p>
        </w:tc>
        <w:tc>
          <w:tcPr>
            <w:tcW w:w="1330" w:type="pct"/>
            <w:tcBorders>
              <w:top w:val="nil"/>
              <w:left w:val="nil"/>
              <w:bottom w:val="single" w:sz="4" w:space="0" w:color="auto"/>
              <w:right w:val="single" w:sz="4" w:space="0" w:color="auto"/>
            </w:tcBorders>
            <w:noWrap/>
            <w:vAlign w:val="center"/>
            <w:hideMark/>
          </w:tcPr>
          <w:p w14:paraId="1A88CE6E" w14:textId="77777777" w:rsidR="00DE3C06" w:rsidRPr="000C5171" w:rsidRDefault="00DE3C06" w:rsidP="008A49D0">
            <w:pPr>
              <w:spacing w:after="0" w:line="240" w:lineRule="auto"/>
              <w:jc w:val="center"/>
              <w:rPr>
                <w:rFonts w:eastAsia="Times New Roman" w:cs="Arial"/>
                <w:color w:val="275317" w:themeColor="accent6" w:themeShade="80"/>
                <w:sz w:val="20"/>
                <w:szCs w:val="20"/>
                <w:lang w:eastAsia="es-CO"/>
              </w:rPr>
            </w:pPr>
            <w:r w:rsidRPr="000C5171">
              <w:rPr>
                <w:rFonts w:eastAsia="Times New Roman" w:cs="Arial"/>
                <w:color w:val="275317" w:themeColor="accent6" w:themeShade="80"/>
                <w:sz w:val="20"/>
                <w:szCs w:val="20"/>
                <w:lang w:eastAsia="es-CO"/>
              </w:rPr>
              <w:t>0</w:t>
            </w:r>
          </w:p>
        </w:tc>
      </w:tr>
      <w:tr w:rsidR="00DE3C06" w:rsidRPr="000C5171" w14:paraId="014A3811" w14:textId="77777777" w:rsidTr="008A49D0">
        <w:trPr>
          <w:trHeight w:val="205"/>
        </w:trPr>
        <w:tc>
          <w:tcPr>
            <w:tcW w:w="603" w:type="pct"/>
            <w:tcBorders>
              <w:top w:val="nil"/>
              <w:left w:val="single" w:sz="4" w:space="0" w:color="auto"/>
              <w:bottom w:val="single" w:sz="4" w:space="0" w:color="auto"/>
              <w:right w:val="single" w:sz="4" w:space="0" w:color="auto"/>
            </w:tcBorders>
            <w:noWrap/>
            <w:vAlign w:val="center"/>
            <w:hideMark/>
          </w:tcPr>
          <w:p w14:paraId="5361F224" w14:textId="77777777" w:rsidR="00DE3C06" w:rsidRPr="000C5171" w:rsidRDefault="00DE3C06" w:rsidP="008A49D0">
            <w:pPr>
              <w:spacing w:after="0" w:line="240" w:lineRule="auto"/>
              <w:jc w:val="center"/>
              <w:rPr>
                <w:rFonts w:eastAsia="Times New Roman" w:cs="Arial"/>
                <w:color w:val="275317" w:themeColor="accent6" w:themeShade="80"/>
                <w:sz w:val="20"/>
                <w:szCs w:val="20"/>
                <w:lang w:eastAsia="es-CO"/>
              </w:rPr>
            </w:pPr>
            <w:r w:rsidRPr="000C5171">
              <w:rPr>
                <w:rFonts w:eastAsia="Times New Roman" w:cs="Arial"/>
                <w:color w:val="275317" w:themeColor="accent6" w:themeShade="80"/>
                <w:sz w:val="20"/>
                <w:szCs w:val="20"/>
                <w:lang w:eastAsia="es-CO"/>
              </w:rPr>
              <w:t>2025</w:t>
            </w:r>
          </w:p>
        </w:tc>
        <w:tc>
          <w:tcPr>
            <w:tcW w:w="1503" w:type="pct"/>
            <w:tcBorders>
              <w:top w:val="nil"/>
              <w:left w:val="nil"/>
              <w:bottom w:val="single" w:sz="4" w:space="0" w:color="auto"/>
              <w:right w:val="single" w:sz="4" w:space="0" w:color="auto"/>
            </w:tcBorders>
            <w:noWrap/>
            <w:vAlign w:val="center"/>
            <w:hideMark/>
          </w:tcPr>
          <w:p w14:paraId="6F932A7D" w14:textId="77777777" w:rsidR="00DE3C06" w:rsidRPr="000C5171" w:rsidRDefault="00DE3C06" w:rsidP="008A49D0">
            <w:pPr>
              <w:spacing w:after="0" w:line="240" w:lineRule="auto"/>
              <w:jc w:val="center"/>
              <w:rPr>
                <w:rFonts w:eastAsia="Times New Roman" w:cs="Arial"/>
                <w:color w:val="275317" w:themeColor="accent6" w:themeShade="80"/>
                <w:sz w:val="20"/>
                <w:szCs w:val="20"/>
                <w:lang w:eastAsia="es-CO"/>
              </w:rPr>
            </w:pPr>
            <w:r w:rsidRPr="000C5171">
              <w:rPr>
                <w:rFonts w:eastAsia="Times New Roman" w:cs="Arial"/>
                <w:color w:val="275317" w:themeColor="accent6" w:themeShade="80"/>
                <w:sz w:val="20"/>
                <w:szCs w:val="20"/>
                <w:lang w:eastAsia="es-CO"/>
              </w:rPr>
              <w:t>91</w:t>
            </w:r>
          </w:p>
        </w:tc>
        <w:tc>
          <w:tcPr>
            <w:tcW w:w="654" w:type="pct"/>
            <w:tcBorders>
              <w:top w:val="nil"/>
              <w:left w:val="nil"/>
              <w:bottom w:val="single" w:sz="4" w:space="0" w:color="auto"/>
              <w:right w:val="single" w:sz="4" w:space="0" w:color="auto"/>
            </w:tcBorders>
            <w:noWrap/>
            <w:vAlign w:val="center"/>
            <w:hideMark/>
          </w:tcPr>
          <w:p w14:paraId="7BD1EE53" w14:textId="77777777" w:rsidR="00DE3C06" w:rsidRPr="000C5171" w:rsidRDefault="00DE3C06" w:rsidP="008A49D0">
            <w:pPr>
              <w:spacing w:after="0" w:line="240" w:lineRule="auto"/>
              <w:jc w:val="center"/>
              <w:rPr>
                <w:rFonts w:eastAsia="Times New Roman" w:cs="Arial"/>
                <w:color w:val="275317" w:themeColor="accent6" w:themeShade="80"/>
                <w:sz w:val="20"/>
                <w:szCs w:val="20"/>
                <w:lang w:eastAsia="es-CO"/>
              </w:rPr>
            </w:pPr>
            <w:r w:rsidRPr="000C5171">
              <w:rPr>
                <w:rFonts w:eastAsia="Times New Roman" w:cs="Arial"/>
                <w:color w:val="275317" w:themeColor="accent6" w:themeShade="80"/>
                <w:sz w:val="20"/>
                <w:szCs w:val="20"/>
                <w:lang w:eastAsia="es-CO"/>
              </w:rPr>
              <w:t>74</w:t>
            </w:r>
          </w:p>
        </w:tc>
        <w:tc>
          <w:tcPr>
            <w:tcW w:w="910" w:type="pct"/>
            <w:tcBorders>
              <w:top w:val="nil"/>
              <w:left w:val="nil"/>
              <w:bottom w:val="single" w:sz="4" w:space="0" w:color="auto"/>
              <w:right w:val="single" w:sz="4" w:space="0" w:color="auto"/>
            </w:tcBorders>
            <w:noWrap/>
            <w:vAlign w:val="center"/>
            <w:hideMark/>
          </w:tcPr>
          <w:p w14:paraId="3FB0DC2A" w14:textId="77777777" w:rsidR="00DE3C06" w:rsidRPr="000C5171" w:rsidRDefault="00DE3C06" w:rsidP="008A49D0">
            <w:pPr>
              <w:spacing w:after="0" w:line="240" w:lineRule="auto"/>
              <w:jc w:val="center"/>
              <w:rPr>
                <w:rFonts w:eastAsia="Times New Roman" w:cs="Arial"/>
                <w:color w:val="275317" w:themeColor="accent6" w:themeShade="80"/>
                <w:sz w:val="20"/>
                <w:szCs w:val="20"/>
                <w:lang w:eastAsia="es-CO"/>
              </w:rPr>
            </w:pPr>
            <w:r w:rsidRPr="000C5171">
              <w:rPr>
                <w:rFonts w:eastAsia="Times New Roman" w:cs="Arial"/>
                <w:color w:val="275317" w:themeColor="accent6" w:themeShade="80"/>
                <w:sz w:val="20"/>
                <w:szCs w:val="20"/>
                <w:lang w:eastAsia="es-CO"/>
              </w:rPr>
              <w:t>17</w:t>
            </w:r>
          </w:p>
        </w:tc>
        <w:tc>
          <w:tcPr>
            <w:tcW w:w="1330" w:type="pct"/>
            <w:tcBorders>
              <w:top w:val="nil"/>
              <w:left w:val="nil"/>
              <w:bottom w:val="single" w:sz="4" w:space="0" w:color="auto"/>
              <w:right w:val="single" w:sz="4" w:space="0" w:color="auto"/>
            </w:tcBorders>
            <w:noWrap/>
            <w:vAlign w:val="center"/>
            <w:hideMark/>
          </w:tcPr>
          <w:p w14:paraId="7EFB1464" w14:textId="77777777" w:rsidR="00DE3C06" w:rsidRPr="000C5171" w:rsidRDefault="00DE3C06" w:rsidP="008A49D0">
            <w:pPr>
              <w:spacing w:after="0" w:line="240" w:lineRule="auto"/>
              <w:jc w:val="center"/>
              <w:rPr>
                <w:rFonts w:eastAsia="Times New Roman" w:cs="Arial"/>
                <w:color w:val="275317" w:themeColor="accent6" w:themeShade="80"/>
                <w:sz w:val="20"/>
                <w:szCs w:val="20"/>
                <w:lang w:eastAsia="es-CO"/>
              </w:rPr>
            </w:pPr>
            <w:r w:rsidRPr="000C5171">
              <w:rPr>
                <w:rFonts w:eastAsia="Times New Roman" w:cs="Arial"/>
                <w:color w:val="275317" w:themeColor="accent6" w:themeShade="80"/>
                <w:sz w:val="20"/>
                <w:szCs w:val="20"/>
                <w:lang w:eastAsia="es-CO"/>
              </w:rPr>
              <w:t>0</w:t>
            </w:r>
          </w:p>
        </w:tc>
      </w:tr>
      <w:tr w:rsidR="00DE3C06" w:rsidRPr="000C5171" w14:paraId="3532D5F5" w14:textId="77777777" w:rsidTr="008A49D0">
        <w:trPr>
          <w:trHeight w:val="205"/>
        </w:trPr>
        <w:tc>
          <w:tcPr>
            <w:tcW w:w="603" w:type="pct"/>
            <w:tcBorders>
              <w:top w:val="nil"/>
              <w:left w:val="single" w:sz="4" w:space="0" w:color="auto"/>
              <w:bottom w:val="single" w:sz="4" w:space="0" w:color="auto"/>
              <w:right w:val="single" w:sz="4" w:space="0" w:color="auto"/>
            </w:tcBorders>
            <w:noWrap/>
            <w:vAlign w:val="center"/>
            <w:hideMark/>
          </w:tcPr>
          <w:p w14:paraId="1755A1D8" w14:textId="77777777" w:rsidR="00DE3C06" w:rsidRPr="000C5171" w:rsidRDefault="00DE3C06" w:rsidP="008A49D0">
            <w:pPr>
              <w:spacing w:after="0" w:line="240" w:lineRule="auto"/>
              <w:jc w:val="center"/>
              <w:rPr>
                <w:rFonts w:eastAsia="Times New Roman" w:cs="Arial"/>
                <w:color w:val="275317" w:themeColor="accent6" w:themeShade="80"/>
                <w:sz w:val="20"/>
                <w:szCs w:val="20"/>
                <w:lang w:eastAsia="es-CO"/>
              </w:rPr>
            </w:pPr>
            <w:r w:rsidRPr="000C5171">
              <w:rPr>
                <w:rFonts w:eastAsia="Times New Roman" w:cs="Arial"/>
                <w:color w:val="275317" w:themeColor="accent6" w:themeShade="80"/>
                <w:sz w:val="20"/>
                <w:szCs w:val="20"/>
                <w:lang w:eastAsia="es-CO"/>
              </w:rPr>
              <w:t>2026</w:t>
            </w:r>
          </w:p>
        </w:tc>
        <w:tc>
          <w:tcPr>
            <w:tcW w:w="1503" w:type="pct"/>
            <w:tcBorders>
              <w:top w:val="nil"/>
              <w:left w:val="nil"/>
              <w:bottom w:val="single" w:sz="4" w:space="0" w:color="auto"/>
              <w:right w:val="single" w:sz="4" w:space="0" w:color="auto"/>
            </w:tcBorders>
            <w:noWrap/>
            <w:vAlign w:val="center"/>
            <w:hideMark/>
          </w:tcPr>
          <w:p w14:paraId="4B2EA1C1" w14:textId="77777777" w:rsidR="00DE3C06" w:rsidRPr="000C5171" w:rsidRDefault="00DE3C06" w:rsidP="008A49D0">
            <w:pPr>
              <w:spacing w:after="0" w:line="240" w:lineRule="auto"/>
              <w:jc w:val="center"/>
              <w:rPr>
                <w:rFonts w:eastAsia="Times New Roman" w:cs="Arial"/>
                <w:color w:val="275317" w:themeColor="accent6" w:themeShade="80"/>
                <w:sz w:val="20"/>
                <w:szCs w:val="20"/>
                <w:lang w:eastAsia="es-CO"/>
              </w:rPr>
            </w:pPr>
            <w:r w:rsidRPr="000C5171">
              <w:rPr>
                <w:rFonts w:eastAsia="Times New Roman" w:cs="Arial"/>
                <w:color w:val="275317" w:themeColor="accent6" w:themeShade="80"/>
                <w:sz w:val="20"/>
                <w:szCs w:val="20"/>
                <w:lang w:eastAsia="es-CO"/>
              </w:rPr>
              <w:t>51</w:t>
            </w:r>
          </w:p>
        </w:tc>
        <w:tc>
          <w:tcPr>
            <w:tcW w:w="654" w:type="pct"/>
            <w:tcBorders>
              <w:top w:val="nil"/>
              <w:left w:val="nil"/>
              <w:bottom w:val="single" w:sz="4" w:space="0" w:color="auto"/>
              <w:right w:val="single" w:sz="4" w:space="0" w:color="auto"/>
            </w:tcBorders>
            <w:noWrap/>
            <w:vAlign w:val="center"/>
            <w:hideMark/>
          </w:tcPr>
          <w:p w14:paraId="570036A0" w14:textId="77777777" w:rsidR="00DE3C06" w:rsidRPr="000C5171" w:rsidRDefault="00DE3C06" w:rsidP="008A49D0">
            <w:pPr>
              <w:spacing w:after="0" w:line="240" w:lineRule="auto"/>
              <w:jc w:val="center"/>
              <w:rPr>
                <w:rFonts w:eastAsia="Times New Roman" w:cs="Arial"/>
                <w:color w:val="275317" w:themeColor="accent6" w:themeShade="80"/>
                <w:sz w:val="20"/>
                <w:szCs w:val="20"/>
                <w:lang w:eastAsia="es-CO"/>
              </w:rPr>
            </w:pPr>
            <w:r w:rsidRPr="000C5171">
              <w:rPr>
                <w:rFonts w:eastAsia="Times New Roman" w:cs="Arial"/>
                <w:color w:val="275317" w:themeColor="accent6" w:themeShade="80"/>
                <w:sz w:val="20"/>
                <w:szCs w:val="20"/>
                <w:lang w:eastAsia="es-CO"/>
              </w:rPr>
              <w:t>34</w:t>
            </w:r>
          </w:p>
        </w:tc>
        <w:tc>
          <w:tcPr>
            <w:tcW w:w="910" w:type="pct"/>
            <w:tcBorders>
              <w:top w:val="nil"/>
              <w:left w:val="nil"/>
              <w:bottom w:val="single" w:sz="4" w:space="0" w:color="auto"/>
              <w:right w:val="single" w:sz="4" w:space="0" w:color="auto"/>
            </w:tcBorders>
            <w:noWrap/>
            <w:vAlign w:val="center"/>
            <w:hideMark/>
          </w:tcPr>
          <w:p w14:paraId="3E3C81A0" w14:textId="77777777" w:rsidR="00DE3C06" w:rsidRPr="000C5171" w:rsidRDefault="00DE3C06" w:rsidP="008A49D0">
            <w:pPr>
              <w:spacing w:after="0" w:line="240" w:lineRule="auto"/>
              <w:jc w:val="center"/>
              <w:rPr>
                <w:rFonts w:eastAsia="Times New Roman" w:cs="Arial"/>
                <w:color w:val="275317" w:themeColor="accent6" w:themeShade="80"/>
                <w:sz w:val="20"/>
                <w:szCs w:val="20"/>
                <w:lang w:eastAsia="es-CO"/>
              </w:rPr>
            </w:pPr>
            <w:r w:rsidRPr="000C5171">
              <w:rPr>
                <w:rFonts w:eastAsia="Times New Roman" w:cs="Arial"/>
                <w:color w:val="275317" w:themeColor="accent6" w:themeShade="80"/>
                <w:sz w:val="20"/>
                <w:szCs w:val="20"/>
                <w:lang w:eastAsia="es-CO"/>
              </w:rPr>
              <w:t>8</w:t>
            </w:r>
          </w:p>
        </w:tc>
        <w:tc>
          <w:tcPr>
            <w:tcW w:w="1330" w:type="pct"/>
            <w:tcBorders>
              <w:top w:val="nil"/>
              <w:left w:val="nil"/>
              <w:bottom w:val="single" w:sz="4" w:space="0" w:color="auto"/>
              <w:right w:val="single" w:sz="4" w:space="0" w:color="auto"/>
            </w:tcBorders>
            <w:noWrap/>
            <w:vAlign w:val="center"/>
            <w:hideMark/>
          </w:tcPr>
          <w:p w14:paraId="3245A760" w14:textId="77777777" w:rsidR="00DE3C06" w:rsidRPr="000C5171" w:rsidRDefault="00DE3C06" w:rsidP="008A49D0">
            <w:pPr>
              <w:spacing w:after="0" w:line="240" w:lineRule="auto"/>
              <w:jc w:val="center"/>
              <w:rPr>
                <w:rFonts w:eastAsia="Times New Roman" w:cs="Arial"/>
                <w:color w:val="275317" w:themeColor="accent6" w:themeShade="80"/>
                <w:sz w:val="20"/>
                <w:szCs w:val="20"/>
                <w:lang w:eastAsia="es-CO"/>
              </w:rPr>
            </w:pPr>
            <w:r w:rsidRPr="000C5171">
              <w:rPr>
                <w:rFonts w:eastAsia="Times New Roman" w:cs="Arial"/>
                <w:color w:val="275317" w:themeColor="accent6" w:themeShade="80"/>
                <w:sz w:val="20"/>
                <w:szCs w:val="20"/>
                <w:lang w:eastAsia="es-CO"/>
              </w:rPr>
              <w:t>9</w:t>
            </w:r>
          </w:p>
        </w:tc>
      </w:tr>
      <w:tr w:rsidR="00DE3C06" w:rsidRPr="000C5171" w14:paraId="7DED7482" w14:textId="77777777" w:rsidTr="008A49D0">
        <w:trPr>
          <w:trHeight w:val="205"/>
        </w:trPr>
        <w:tc>
          <w:tcPr>
            <w:tcW w:w="603" w:type="pct"/>
            <w:tcBorders>
              <w:top w:val="nil"/>
              <w:left w:val="single" w:sz="4" w:space="0" w:color="auto"/>
              <w:bottom w:val="single" w:sz="4" w:space="0" w:color="auto"/>
              <w:right w:val="single" w:sz="4" w:space="0" w:color="auto"/>
            </w:tcBorders>
            <w:noWrap/>
            <w:vAlign w:val="center"/>
            <w:hideMark/>
          </w:tcPr>
          <w:p w14:paraId="7A46E7CD" w14:textId="77777777" w:rsidR="00DE3C06" w:rsidRPr="000C5171" w:rsidRDefault="00DE3C06" w:rsidP="008A49D0">
            <w:pPr>
              <w:spacing w:after="0" w:line="240" w:lineRule="auto"/>
              <w:jc w:val="center"/>
              <w:rPr>
                <w:rFonts w:eastAsia="Times New Roman" w:cs="Arial"/>
                <w:b/>
                <w:bCs/>
                <w:color w:val="275317" w:themeColor="accent6" w:themeShade="80"/>
                <w:sz w:val="20"/>
                <w:szCs w:val="20"/>
                <w:lang w:eastAsia="es-CO"/>
              </w:rPr>
            </w:pPr>
            <w:r w:rsidRPr="000C5171">
              <w:rPr>
                <w:rFonts w:eastAsia="Times New Roman" w:cs="Arial"/>
                <w:b/>
                <w:bCs/>
                <w:color w:val="275317" w:themeColor="accent6" w:themeShade="80"/>
                <w:sz w:val="20"/>
                <w:szCs w:val="20"/>
                <w:lang w:eastAsia="es-CO"/>
              </w:rPr>
              <w:t>Total</w:t>
            </w:r>
          </w:p>
        </w:tc>
        <w:tc>
          <w:tcPr>
            <w:tcW w:w="1503" w:type="pct"/>
            <w:tcBorders>
              <w:top w:val="nil"/>
              <w:left w:val="nil"/>
              <w:bottom w:val="single" w:sz="4" w:space="0" w:color="auto"/>
              <w:right w:val="single" w:sz="4" w:space="0" w:color="auto"/>
            </w:tcBorders>
            <w:noWrap/>
            <w:vAlign w:val="center"/>
            <w:hideMark/>
          </w:tcPr>
          <w:p w14:paraId="0D378E79" w14:textId="77777777" w:rsidR="00DE3C06" w:rsidRPr="000C5171" w:rsidRDefault="00DE3C06" w:rsidP="008A49D0">
            <w:pPr>
              <w:spacing w:after="0" w:line="240" w:lineRule="auto"/>
              <w:jc w:val="center"/>
              <w:rPr>
                <w:rFonts w:eastAsia="Times New Roman" w:cs="Arial"/>
                <w:b/>
                <w:bCs/>
                <w:color w:val="275317" w:themeColor="accent6" w:themeShade="80"/>
                <w:sz w:val="20"/>
                <w:szCs w:val="20"/>
                <w:lang w:eastAsia="es-CO"/>
              </w:rPr>
            </w:pPr>
            <w:r w:rsidRPr="000C5171">
              <w:rPr>
                <w:rFonts w:eastAsia="Times New Roman" w:cs="Arial"/>
                <w:b/>
                <w:bCs/>
                <w:color w:val="275317" w:themeColor="accent6" w:themeShade="80"/>
                <w:sz w:val="20"/>
                <w:szCs w:val="20"/>
                <w:lang w:eastAsia="es-CO"/>
              </w:rPr>
              <w:t>362</w:t>
            </w:r>
          </w:p>
        </w:tc>
        <w:tc>
          <w:tcPr>
            <w:tcW w:w="654" w:type="pct"/>
            <w:tcBorders>
              <w:top w:val="nil"/>
              <w:left w:val="nil"/>
              <w:bottom w:val="single" w:sz="4" w:space="0" w:color="auto"/>
              <w:right w:val="single" w:sz="4" w:space="0" w:color="auto"/>
            </w:tcBorders>
            <w:noWrap/>
            <w:vAlign w:val="center"/>
            <w:hideMark/>
          </w:tcPr>
          <w:p w14:paraId="27617A1F" w14:textId="77777777" w:rsidR="00DE3C06" w:rsidRPr="000C5171" w:rsidRDefault="00DE3C06" w:rsidP="008A49D0">
            <w:pPr>
              <w:spacing w:after="0" w:line="240" w:lineRule="auto"/>
              <w:jc w:val="center"/>
              <w:rPr>
                <w:rFonts w:eastAsia="Times New Roman" w:cs="Arial"/>
                <w:b/>
                <w:bCs/>
                <w:color w:val="275317" w:themeColor="accent6" w:themeShade="80"/>
                <w:sz w:val="20"/>
                <w:szCs w:val="20"/>
                <w:lang w:eastAsia="es-CO"/>
              </w:rPr>
            </w:pPr>
            <w:r w:rsidRPr="000C5171">
              <w:rPr>
                <w:rFonts w:eastAsia="Times New Roman" w:cs="Arial"/>
                <w:b/>
                <w:bCs/>
                <w:color w:val="275317" w:themeColor="accent6" w:themeShade="80"/>
                <w:sz w:val="20"/>
                <w:szCs w:val="20"/>
                <w:lang w:eastAsia="es-CO"/>
              </w:rPr>
              <w:t>295</w:t>
            </w:r>
          </w:p>
        </w:tc>
        <w:tc>
          <w:tcPr>
            <w:tcW w:w="910" w:type="pct"/>
            <w:tcBorders>
              <w:top w:val="nil"/>
              <w:left w:val="nil"/>
              <w:bottom w:val="single" w:sz="4" w:space="0" w:color="auto"/>
              <w:right w:val="single" w:sz="4" w:space="0" w:color="auto"/>
            </w:tcBorders>
            <w:noWrap/>
            <w:vAlign w:val="center"/>
            <w:hideMark/>
          </w:tcPr>
          <w:p w14:paraId="6196B9A5" w14:textId="77777777" w:rsidR="00DE3C06" w:rsidRPr="000C5171" w:rsidRDefault="00DE3C06" w:rsidP="008A49D0">
            <w:pPr>
              <w:spacing w:after="0" w:line="240" w:lineRule="auto"/>
              <w:jc w:val="center"/>
              <w:rPr>
                <w:rFonts w:eastAsia="Times New Roman" w:cs="Arial"/>
                <w:b/>
                <w:bCs/>
                <w:color w:val="275317" w:themeColor="accent6" w:themeShade="80"/>
                <w:sz w:val="20"/>
                <w:szCs w:val="20"/>
                <w:lang w:eastAsia="es-CO"/>
              </w:rPr>
            </w:pPr>
            <w:r w:rsidRPr="000C5171">
              <w:rPr>
                <w:rFonts w:eastAsia="Times New Roman" w:cs="Arial"/>
                <w:b/>
                <w:bCs/>
                <w:color w:val="275317" w:themeColor="accent6" w:themeShade="80"/>
                <w:sz w:val="20"/>
                <w:szCs w:val="20"/>
                <w:lang w:eastAsia="es-CO"/>
              </w:rPr>
              <w:t>58</w:t>
            </w:r>
          </w:p>
        </w:tc>
        <w:tc>
          <w:tcPr>
            <w:tcW w:w="1330" w:type="pct"/>
            <w:tcBorders>
              <w:top w:val="nil"/>
              <w:left w:val="nil"/>
              <w:bottom w:val="single" w:sz="4" w:space="0" w:color="auto"/>
              <w:right w:val="single" w:sz="4" w:space="0" w:color="auto"/>
            </w:tcBorders>
            <w:noWrap/>
            <w:vAlign w:val="center"/>
            <w:hideMark/>
          </w:tcPr>
          <w:p w14:paraId="6E5CEC98" w14:textId="77777777" w:rsidR="00DE3C06" w:rsidRPr="000C5171" w:rsidRDefault="00DE3C06" w:rsidP="008A49D0">
            <w:pPr>
              <w:spacing w:after="0" w:line="240" w:lineRule="auto"/>
              <w:jc w:val="center"/>
              <w:rPr>
                <w:rFonts w:eastAsia="Times New Roman" w:cs="Arial"/>
                <w:b/>
                <w:bCs/>
                <w:color w:val="275317" w:themeColor="accent6" w:themeShade="80"/>
                <w:sz w:val="20"/>
                <w:szCs w:val="20"/>
                <w:lang w:eastAsia="es-CO"/>
              </w:rPr>
            </w:pPr>
            <w:r w:rsidRPr="000C5171">
              <w:rPr>
                <w:rFonts w:eastAsia="Times New Roman" w:cs="Arial"/>
                <w:b/>
                <w:bCs/>
                <w:color w:val="275317" w:themeColor="accent6" w:themeShade="80"/>
                <w:sz w:val="20"/>
                <w:szCs w:val="20"/>
                <w:lang w:eastAsia="es-CO"/>
              </w:rPr>
              <w:t>9</w:t>
            </w:r>
          </w:p>
        </w:tc>
      </w:tr>
    </w:tbl>
    <w:p w14:paraId="199B91A5" w14:textId="77777777" w:rsidR="00DE3C06" w:rsidRPr="000C5171" w:rsidRDefault="00DE3C06" w:rsidP="00DE3C06">
      <w:pPr>
        <w:pStyle w:val="Prrafodelista"/>
        <w:jc w:val="center"/>
        <w:rPr>
          <w:rFonts w:cs="Arial"/>
          <w:sz w:val="18"/>
          <w:szCs w:val="18"/>
        </w:rPr>
      </w:pPr>
      <w:r w:rsidRPr="000C5171">
        <w:rPr>
          <w:rFonts w:cs="Arial"/>
          <w:sz w:val="18"/>
          <w:szCs w:val="18"/>
        </w:rPr>
        <w:t>Fuente: ART</w:t>
      </w:r>
    </w:p>
    <w:p w14:paraId="002F2882" w14:textId="77777777" w:rsidR="00DE3C06" w:rsidRPr="000C5171" w:rsidRDefault="00DE3C06" w:rsidP="00DE3C06">
      <w:pPr>
        <w:pStyle w:val="Prrafodelista"/>
        <w:spacing w:line="276" w:lineRule="auto"/>
        <w:rPr>
          <w:rFonts w:cs="Tahoma"/>
          <w:sz w:val="22"/>
          <w:szCs w:val="22"/>
        </w:rPr>
      </w:pPr>
    </w:p>
    <w:p w14:paraId="2C31B43B" w14:textId="77777777" w:rsidR="00DE3C06" w:rsidRPr="000C5171" w:rsidRDefault="00DE3C06" w:rsidP="00DE3C06">
      <w:pPr>
        <w:pStyle w:val="Prrafodelista"/>
        <w:spacing w:line="276" w:lineRule="auto"/>
        <w:jc w:val="center"/>
        <w:rPr>
          <w:rFonts w:cs="Tahoma"/>
          <w:sz w:val="22"/>
          <w:szCs w:val="22"/>
        </w:rPr>
      </w:pPr>
      <w:r w:rsidRPr="000C5171">
        <w:rPr>
          <w:rFonts w:cs="Tahoma"/>
          <w:sz w:val="22"/>
          <w:szCs w:val="22"/>
        </w:rPr>
        <w:t>Gráfica 5. Autos Admisorios</w:t>
      </w:r>
    </w:p>
    <w:p w14:paraId="09DC0D56" w14:textId="77777777" w:rsidR="00DE3C06" w:rsidRPr="000C5171" w:rsidRDefault="00DE3C06" w:rsidP="00DE3C06">
      <w:pPr>
        <w:pStyle w:val="Prrafodelista"/>
        <w:spacing w:after="0" w:line="276" w:lineRule="auto"/>
        <w:ind w:left="142"/>
        <w:jc w:val="center"/>
        <w:rPr>
          <w:rFonts w:cs="Tahoma"/>
          <w:sz w:val="18"/>
          <w:szCs w:val="18"/>
        </w:rPr>
      </w:pPr>
      <w:r w:rsidRPr="000C5171">
        <w:rPr>
          <w:noProof/>
        </w:rPr>
        <w:drawing>
          <wp:inline distT="0" distB="0" distL="0" distR="0" wp14:anchorId="2708085B" wp14:editId="7A354486">
            <wp:extent cx="5356225" cy="1737360"/>
            <wp:effectExtent l="0" t="0" r="15875" b="15240"/>
            <wp:docPr id="3" name="Gráfico 3">
              <a:extLst xmlns:a="http://schemas.openxmlformats.org/drawingml/2006/main">
                <a:ext uri="{FF2B5EF4-FFF2-40B4-BE49-F238E27FC236}">
                  <a16:creationId xmlns:a16="http://schemas.microsoft.com/office/drawing/2014/main" id="{3315A30B-C530-7856-BBBF-E0ECEF2FF0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Pr="000C5171">
        <w:rPr>
          <w:rFonts w:cs="Tahoma"/>
          <w:sz w:val="18"/>
          <w:szCs w:val="18"/>
        </w:rPr>
        <w:t>Fuente: ART</w:t>
      </w:r>
    </w:p>
    <w:p w14:paraId="59F84C32" w14:textId="77777777" w:rsidR="00DE3C06" w:rsidRPr="000C5171" w:rsidRDefault="00DE3C06" w:rsidP="00DE3C06">
      <w:pPr>
        <w:pStyle w:val="Prrafodelista"/>
        <w:spacing w:after="0" w:line="276" w:lineRule="auto"/>
        <w:jc w:val="center"/>
        <w:rPr>
          <w:rFonts w:cs="Tahoma"/>
          <w:sz w:val="22"/>
          <w:szCs w:val="22"/>
        </w:rPr>
      </w:pPr>
    </w:p>
    <w:p w14:paraId="258FFD99" w14:textId="77777777" w:rsidR="00DE3C06" w:rsidRPr="000C5171" w:rsidRDefault="00DE3C06">
      <w:pPr>
        <w:pStyle w:val="Prrafodelista"/>
        <w:numPr>
          <w:ilvl w:val="0"/>
          <w:numId w:val="26"/>
        </w:numPr>
        <w:jc w:val="both"/>
        <w:rPr>
          <w:rFonts w:cs="Tahoma"/>
          <w:sz w:val="22"/>
          <w:szCs w:val="22"/>
        </w:rPr>
      </w:pPr>
      <w:r w:rsidRPr="000C5171">
        <w:rPr>
          <w:rFonts w:cs="Tahoma"/>
          <w:b/>
          <w:bCs/>
          <w:sz w:val="22"/>
          <w:szCs w:val="22"/>
        </w:rPr>
        <w:t xml:space="preserve">Acciones de tutela con seguimiento relacionadas con la Dirección de Sustitución de Cultivos de Uso Ilícito -DSCI:  </w:t>
      </w:r>
    </w:p>
    <w:p w14:paraId="20008B7C" w14:textId="77777777" w:rsidR="00DE3C06" w:rsidRPr="000C5171" w:rsidRDefault="00DE3C06" w:rsidP="00DE3C06">
      <w:pPr>
        <w:jc w:val="both"/>
        <w:rPr>
          <w:rFonts w:cs="Tahoma"/>
          <w:sz w:val="22"/>
          <w:szCs w:val="22"/>
        </w:rPr>
      </w:pPr>
      <w:r w:rsidRPr="000C5171">
        <w:rPr>
          <w:rFonts w:cs="Tahoma"/>
          <w:sz w:val="22"/>
          <w:szCs w:val="22"/>
        </w:rPr>
        <w:t xml:space="preserve">Existen fallos de tutela que invocan la protección de derechos fundamentales en el marco de la implementación del PNIS  y la política de sustitución de cultivos de uso ilícito y que por su naturaleza </w:t>
      </w:r>
      <w:r w:rsidRPr="000C5171">
        <w:rPr>
          <w:rFonts w:cs="Arial"/>
          <w:sz w:val="22"/>
          <w:szCs w:val="22"/>
        </w:rPr>
        <w:t xml:space="preserve">pública compleja, multisectorial y de ejecución progresiva, cuya implementación no depende de una única entidad, sino de la actuación coordinada de múltiples autoridades del orden nacional y territorial, conforme a sus competencias legales, </w:t>
      </w:r>
      <w:r w:rsidRPr="000C5171">
        <w:rPr>
          <w:rFonts w:cs="Tahoma"/>
          <w:sz w:val="22"/>
          <w:szCs w:val="22"/>
        </w:rPr>
        <w:t>han sido objeto de revisión por las altas cortes, juzgados o tribunales y requieren un seguimiento periódico para dar cumplimiento a lo ordenado. A continuación, se detallan dichos procesos: (La relación detallada de cada una podrá consultarse en “</w:t>
      </w:r>
      <w:r w:rsidRPr="000C5171">
        <w:rPr>
          <w:rFonts w:cs="Tahoma"/>
          <w:i/>
          <w:iCs/>
          <w:sz w:val="22"/>
          <w:szCs w:val="22"/>
        </w:rPr>
        <w:t>Acciones de tutela 2022</w:t>
      </w:r>
      <w:r w:rsidRPr="000C5171">
        <w:rPr>
          <w:rFonts w:cs="Tahoma"/>
          <w:sz w:val="22"/>
          <w:szCs w:val="22"/>
        </w:rPr>
        <w:t>“(</w:t>
      </w:r>
      <w:r w:rsidRPr="000C5171">
        <w:rPr>
          <w:rFonts w:cs="Tahoma"/>
          <w:b/>
          <w:bCs/>
          <w:sz w:val="22"/>
          <w:szCs w:val="22"/>
        </w:rPr>
        <w:t>ANEXO 29.C</w:t>
      </w:r>
      <w:r w:rsidRPr="000C5171">
        <w:rPr>
          <w:rFonts w:cs="Tahoma"/>
          <w:sz w:val="22"/>
          <w:szCs w:val="22"/>
        </w:rPr>
        <w:t>)).</w:t>
      </w:r>
    </w:p>
    <w:p w14:paraId="4FF3D0AA" w14:textId="77777777" w:rsidR="00DE3C06" w:rsidRPr="000C5171" w:rsidRDefault="00DE3C06" w:rsidP="00DE3C06">
      <w:pPr>
        <w:spacing w:line="276" w:lineRule="auto"/>
        <w:jc w:val="center"/>
        <w:rPr>
          <w:rFonts w:cs="Arial"/>
          <w:sz w:val="22"/>
          <w:szCs w:val="22"/>
        </w:rPr>
      </w:pPr>
      <w:r w:rsidRPr="000C5171">
        <w:rPr>
          <w:rFonts w:cs="Arial"/>
          <w:b/>
          <w:bCs/>
          <w:sz w:val="22"/>
          <w:szCs w:val="22"/>
        </w:rPr>
        <w:t xml:space="preserve">Tabla 18. </w:t>
      </w:r>
      <w:r w:rsidRPr="000C5171">
        <w:rPr>
          <w:rFonts w:cs="Arial"/>
          <w:sz w:val="22"/>
          <w:szCs w:val="22"/>
        </w:rPr>
        <w:t>Sentencias</w:t>
      </w:r>
    </w:p>
    <w:tbl>
      <w:tblPr>
        <w:tblStyle w:val="Tablaconcuadrcula"/>
        <w:tblW w:w="0" w:type="auto"/>
        <w:jc w:val="center"/>
        <w:tblLook w:val="04A0" w:firstRow="1" w:lastRow="0" w:firstColumn="1" w:lastColumn="0" w:noHBand="0" w:noVBand="1"/>
      </w:tblPr>
      <w:tblGrid>
        <w:gridCol w:w="3114"/>
        <w:gridCol w:w="5298"/>
      </w:tblGrid>
      <w:tr w:rsidR="00DE3C06" w:rsidRPr="000C5171" w14:paraId="27A109F5" w14:textId="77777777" w:rsidTr="008A49D0">
        <w:trPr>
          <w:jc w:val="center"/>
        </w:trPr>
        <w:tc>
          <w:tcPr>
            <w:tcW w:w="3114" w:type="dxa"/>
            <w:tcBorders>
              <w:top w:val="single" w:sz="4" w:space="0" w:color="auto"/>
              <w:left w:val="single" w:sz="4" w:space="0" w:color="auto"/>
              <w:bottom w:val="single" w:sz="4" w:space="0" w:color="auto"/>
              <w:right w:val="single" w:sz="4" w:space="0" w:color="auto"/>
            </w:tcBorders>
            <w:shd w:val="clear" w:color="auto" w:fill="C1F0C7"/>
            <w:hideMark/>
          </w:tcPr>
          <w:p w14:paraId="5798E193" w14:textId="77777777" w:rsidR="00DE3C06" w:rsidRPr="000C5171" w:rsidRDefault="00DE3C06" w:rsidP="008A49D0">
            <w:pPr>
              <w:tabs>
                <w:tab w:val="left" w:pos="708"/>
                <w:tab w:val="left" w:pos="1416"/>
                <w:tab w:val="left" w:pos="2124"/>
                <w:tab w:val="left" w:pos="2832"/>
                <w:tab w:val="left" w:pos="8175"/>
              </w:tabs>
              <w:jc w:val="center"/>
              <w:rPr>
                <w:rFonts w:eastAsia="Arial" w:cs="Arial"/>
                <w:b/>
                <w:bCs/>
                <w:color w:val="275317" w:themeColor="accent6" w:themeShade="80"/>
                <w:sz w:val="18"/>
                <w:szCs w:val="18"/>
              </w:rPr>
            </w:pPr>
            <w:r w:rsidRPr="000C5171">
              <w:rPr>
                <w:rFonts w:eastAsia="Arial" w:cs="Arial"/>
                <w:b/>
                <w:bCs/>
                <w:color w:val="275317" w:themeColor="accent6" w:themeShade="80"/>
                <w:sz w:val="18"/>
                <w:szCs w:val="18"/>
              </w:rPr>
              <w:t>Clase de proceso y No. de sentencia</w:t>
            </w:r>
          </w:p>
        </w:tc>
        <w:tc>
          <w:tcPr>
            <w:tcW w:w="5298" w:type="dxa"/>
            <w:tcBorders>
              <w:top w:val="single" w:sz="4" w:space="0" w:color="auto"/>
              <w:left w:val="single" w:sz="4" w:space="0" w:color="auto"/>
              <w:bottom w:val="single" w:sz="4" w:space="0" w:color="auto"/>
              <w:right w:val="single" w:sz="4" w:space="0" w:color="auto"/>
            </w:tcBorders>
            <w:shd w:val="clear" w:color="auto" w:fill="C1F0C7"/>
            <w:hideMark/>
          </w:tcPr>
          <w:p w14:paraId="1F1299BF" w14:textId="77777777" w:rsidR="00DE3C06" w:rsidRPr="000C5171" w:rsidRDefault="00DE3C06" w:rsidP="008A49D0">
            <w:pPr>
              <w:tabs>
                <w:tab w:val="left" w:pos="708"/>
                <w:tab w:val="left" w:pos="1416"/>
                <w:tab w:val="left" w:pos="2124"/>
                <w:tab w:val="left" w:pos="2832"/>
                <w:tab w:val="left" w:pos="8175"/>
              </w:tabs>
              <w:jc w:val="center"/>
              <w:rPr>
                <w:rFonts w:eastAsia="Arial" w:cs="Arial"/>
                <w:b/>
                <w:bCs/>
                <w:color w:val="275317" w:themeColor="accent6" w:themeShade="80"/>
                <w:sz w:val="18"/>
                <w:szCs w:val="18"/>
              </w:rPr>
            </w:pPr>
            <w:r w:rsidRPr="000C5171">
              <w:rPr>
                <w:rFonts w:eastAsia="Arial" w:cs="Arial"/>
                <w:b/>
                <w:bCs/>
                <w:color w:val="275317" w:themeColor="accent6" w:themeShade="80"/>
                <w:sz w:val="18"/>
                <w:szCs w:val="18"/>
              </w:rPr>
              <w:t>Beneficiarios de la sentencia</w:t>
            </w:r>
          </w:p>
        </w:tc>
      </w:tr>
      <w:tr w:rsidR="00DE3C06" w:rsidRPr="000C5171" w14:paraId="21FA4E05" w14:textId="77777777" w:rsidTr="008A49D0">
        <w:trPr>
          <w:jc w:val="center"/>
        </w:trPr>
        <w:tc>
          <w:tcPr>
            <w:tcW w:w="3114" w:type="dxa"/>
            <w:tcBorders>
              <w:top w:val="single" w:sz="4" w:space="0" w:color="auto"/>
              <w:left w:val="single" w:sz="4" w:space="0" w:color="auto"/>
              <w:bottom w:val="single" w:sz="4" w:space="0" w:color="auto"/>
              <w:right w:val="single" w:sz="4" w:space="0" w:color="auto"/>
            </w:tcBorders>
          </w:tcPr>
          <w:p w14:paraId="6807C01D" w14:textId="77777777" w:rsidR="00DE3C06" w:rsidRPr="000C5171" w:rsidRDefault="00DE3C06" w:rsidP="008A49D0">
            <w:pPr>
              <w:tabs>
                <w:tab w:val="left" w:pos="708"/>
                <w:tab w:val="left" w:pos="1416"/>
                <w:tab w:val="left" w:pos="2124"/>
                <w:tab w:val="left" w:pos="2832"/>
                <w:tab w:val="left" w:pos="8175"/>
              </w:tabs>
              <w:jc w:val="center"/>
              <w:rPr>
                <w:rFonts w:eastAsia="Arial" w:cs="Arial"/>
                <w:color w:val="275317" w:themeColor="accent6" w:themeShade="80"/>
                <w:sz w:val="18"/>
                <w:szCs w:val="18"/>
              </w:rPr>
            </w:pPr>
            <w:r w:rsidRPr="000C5171">
              <w:rPr>
                <w:rFonts w:eastAsia="Arial" w:cs="Arial"/>
                <w:color w:val="275317" w:themeColor="accent6" w:themeShade="80"/>
                <w:sz w:val="18"/>
                <w:szCs w:val="18"/>
              </w:rPr>
              <w:t>Sentencia de Unificación -SU 545/23 – Corte Constitucional</w:t>
            </w:r>
          </w:p>
          <w:p w14:paraId="0C61F6A6" w14:textId="77777777" w:rsidR="00DE3C06" w:rsidRPr="000C5171" w:rsidRDefault="00DE3C06" w:rsidP="008A49D0">
            <w:pPr>
              <w:tabs>
                <w:tab w:val="left" w:pos="708"/>
                <w:tab w:val="left" w:pos="1416"/>
                <w:tab w:val="left" w:pos="2124"/>
                <w:tab w:val="left" w:pos="2832"/>
                <w:tab w:val="left" w:pos="8175"/>
              </w:tabs>
              <w:jc w:val="center"/>
              <w:rPr>
                <w:rFonts w:eastAsia="Arial" w:cs="Arial"/>
                <w:color w:val="275317" w:themeColor="accent6" w:themeShade="80"/>
                <w:sz w:val="18"/>
                <w:szCs w:val="18"/>
              </w:rPr>
            </w:pPr>
          </w:p>
        </w:tc>
        <w:tc>
          <w:tcPr>
            <w:tcW w:w="5298" w:type="dxa"/>
            <w:tcBorders>
              <w:top w:val="single" w:sz="4" w:space="0" w:color="auto"/>
              <w:left w:val="single" w:sz="4" w:space="0" w:color="auto"/>
              <w:bottom w:val="single" w:sz="4" w:space="0" w:color="auto"/>
              <w:right w:val="single" w:sz="4" w:space="0" w:color="auto"/>
            </w:tcBorders>
            <w:hideMark/>
          </w:tcPr>
          <w:p w14:paraId="253FF72D" w14:textId="77777777" w:rsidR="00DE3C06" w:rsidRPr="000C5171" w:rsidRDefault="00DE3C06" w:rsidP="008A49D0">
            <w:pPr>
              <w:tabs>
                <w:tab w:val="left" w:pos="708"/>
                <w:tab w:val="left" w:pos="1416"/>
                <w:tab w:val="left" w:pos="2124"/>
                <w:tab w:val="left" w:pos="2832"/>
                <w:tab w:val="left" w:pos="8175"/>
              </w:tabs>
              <w:jc w:val="both"/>
              <w:rPr>
                <w:rFonts w:eastAsia="Arial" w:cs="Arial"/>
                <w:color w:val="275317" w:themeColor="accent6" w:themeShade="80"/>
                <w:sz w:val="18"/>
                <w:szCs w:val="18"/>
              </w:rPr>
            </w:pPr>
            <w:r w:rsidRPr="000C5171">
              <w:rPr>
                <w:rFonts w:eastAsia="Arial" w:cs="Arial"/>
                <w:color w:val="275317" w:themeColor="accent6" w:themeShade="80"/>
                <w:sz w:val="18"/>
                <w:szCs w:val="18"/>
              </w:rPr>
              <w:t>A favor de comunidades campesinas y comunidades étnicas de los departamentos de Cauca, Nariño, Norte de Santander y Putumayo, quienes solicitaron la protección de sus derechos fundamentales en el marco de la implementación del PNIS y de la ejecución de operativos de erradicación de cultivos de uso ilícito en sus territorios.</w:t>
            </w:r>
          </w:p>
        </w:tc>
      </w:tr>
      <w:tr w:rsidR="00DE3C06" w:rsidRPr="000C5171" w14:paraId="5E42300C" w14:textId="77777777" w:rsidTr="008A49D0">
        <w:trPr>
          <w:jc w:val="center"/>
        </w:trPr>
        <w:tc>
          <w:tcPr>
            <w:tcW w:w="3114" w:type="dxa"/>
            <w:tcBorders>
              <w:top w:val="single" w:sz="4" w:space="0" w:color="auto"/>
              <w:left w:val="single" w:sz="4" w:space="0" w:color="auto"/>
              <w:bottom w:val="single" w:sz="4" w:space="0" w:color="auto"/>
              <w:right w:val="single" w:sz="4" w:space="0" w:color="auto"/>
            </w:tcBorders>
          </w:tcPr>
          <w:p w14:paraId="1A8FD309" w14:textId="77777777" w:rsidR="00DE3C06" w:rsidRPr="000C5171" w:rsidRDefault="00DE3C06" w:rsidP="008A49D0">
            <w:pPr>
              <w:tabs>
                <w:tab w:val="left" w:pos="708"/>
                <w:tab w:val="left" w:pos="1416"/>
                <w:tab w:val="left" w:pos="2124"/>
                <w:tab w:val="left" w:pos="2832"/>
                <w:tab w:val="left" w:pos="8175"/>
              </w:tabs>
              <w:jc w:val="center"/>
              <w:rPr>
                <w:rFonts w:eastAsia="Arial" w:cs="Arial"/>
                <w:color w:val="275317" w:themeColor="accent6" w:themeShade="80"/>
                <w:sz w:val="18"/>
                <w:szCs w:val="18"/>
              </w:rPr>
            </w:pPr>
            <w:r w:rsidRPr="000C5171">
              <w:rPr>
                <w:rFonts w:eastAsia="Arial" w:cs="Arial"/>
                <w:color w:val="275317" w:themeColor="accent6" w:themeShade="80"/>
                <w:sz w:val="18"/>
                <w:szCs w:val="18"/>
              </w:rPr>
              <w:lastRenderedPageBreak/>
              <w:t>Sentencia de Unificación -SU 020/22/Auto 826 de 2024 y 2056 de 2025- Corte Constitucional</w:t>
            </w:r>
          </w:p>
          <w:p w14:paraId="1A9FC31C" w14:textId="77777777" w:rsidR="00DE3C06" w:rsidRPr="000C5171" w:rsidRDefault="00DE3C06" w:rsidP="008A49D0">
            <w:pPr>
              <w:tabs>
                <w:tab w:val="left" w:pos="708"/>
                <w:tab w:val="left" w:pos="1416"/>
                <w:tab w:val="left" w:pos="2124"/>
                <w:tab w:val="left" w:pos="2832"/>
                <w:tab w:val="left" w:pos="8175"/>
              </w:tabs>
              <w:jc w:val="center"/>
              <w:rPr>
                <w:rFonts w:eastAsia="Arial" w:cs="Arial"/>
                <w:color w:val="275317" w:themeColor="accent6" w:themeShade="80"/>
                <w:sz w:val="18"/>
                <w:szCs w:val="18"/>
              </w:rPr>
            </w:pPr>
          </w:p>
          <w:p w14:paraId="7E0CBD8B" w14:textId="77777777" w:rsidR="00DE3C06" w:rsidRPr="000C5171" w:rsidRDefault="00DE3C06" w:rsidP="008A49D0">
            <w:pPr>
              <w:tabs>
                <w:tab w:val="left" w:pos="708"/>
                <w:tab w:val="left" w:pos="1416"/>
                <w:tab w:val="left" w:pos="2124"/>
                <w:tab w:val="left" w:pos="2832"/>
                <w:tab w:val="left" w:pos="8175"/>
              </w:tabs>
              <w:jc w:val="center"/>
              <w:rPr>
                <w:rFonts w:eastAsia="Arial" w:cs="Arial"/>
                <w:color w:val="275317" w:themeColor="accent6" w:themeShade="80"/>
                <w:sz w:val="18"/>
                <w:szCs w:val="18"/>
              </w:rPr>
            </w:pPr>
          </w:p>
        </w:tc>
        <w:tc>
          <w:tcPr>
            <w:tcW w:w="5298" w:type="dxa"/>
            <w:tcBorders>
              <w:top w:val="single" w:sz="4" w:space="0" w:color="auto"/>
              <w:left w:val="single" w:sz="4" w:space="0" w:color="auto"/>
              <w:bottom w:val="single" w:sz="4" w:space="0" w:color="auto"/>
              <w:right w:val="single" w:sz="4" w:space="0" w:color="auto"/>
            </w:tcBorders>
          </w:tcPr>
          <w:p w14:paraId="49D07C6D" w14:textId="77777777" w:rsidR="00DE3C06" w:rsidRPr="000C5171" w:rsidRDefault="00DE3C06" w:rsidP="008A49D0">
            <w:pPr>
              <w:tabs>
                <w:tab w:val="left" w:pos="708"/>
                <w:tab w:val="left" w:pos="1416"/>
                <w:tab w:val="left" w:pos="2124"/>
                <w:tab w:val="left" w:pos="2832"/>
                <w:tab w:val="left" w:pos="8175"/>
              </w:tabs>
              <w:jc w:val="both"/>
              <w:rPr>
                <w:rFonts w:eastAsia="Arial" w:cs="Arial"/>
                <w:color w:val="275317" w:themeColor="accent6" w:themeShade="80"/>
                <w:sz w:val="18"/>
                <w:szCs w:val="18"/>
              </w:rPr>
            </w:pPr>
            <w:r w:rsidRPr="000C5171">
              <w:rPr>
                <w:rFonts w:eastAsia="Arial" w:cs="Arial"/>
                <w:color w:val="275317" w:themeColor="accent6" w:themeShade="80"/>
                <w:sz w:val="18"/>
                <w:szCs w:val="18"/>
              </w:rPr>
              <w:t xml:space="preserve">Estado de cosas inconstitucional del componente de garantías de seguridad para </w:t>
            </w:r>
            <w:proofErr w:type="gramStart"/>
            <w:r w:rsidRPr="000C5171">
              <w:rPr>
                <w:rFonts w:eastAsia="Arial" w:cs="Arial"/>
                <w:color w:val="275317" w:themeColor="accent6" w:themeShade="80"/>
                <w:sz w:val="18"/>
                <w:szCs w:val="18"/>
              </w:rPr>
              <w:t>la  población</w:t>
            </w:r>
            <w:proofErr w:type="gramEnd"/>
            <w:r w:rsidRPr="000C5171">
              <w:rPr>
                <w:rFonts w:eastAsia="Arial" w:cs="Arial"/>
                <w:color w:val="275317" w:themeColor="accent6" w:themeShade="80"/>
                <w:sz w:val="18"/>
                <w:szCs w:val="18"/>
              </w:rPr>
              <w:t xml:space="preserve"> firmante del Acuerdo Final de Paz en proceso de reincorporación. Medidas concretas para garantizar la articulación entre los Programas Integrales de Sustitución y Desarrollo Alternativo que a nivel municipal se han venido ejecutando asincrónicamente frente a la estrategia de seguridad</w:t>
            </w:r>
          </w:p>
        </w:tc>
      </w:tr>
      <w:tr w:rsidR="00DE3C06" w:rsidRPr="000C5171" w14:paraId="1DBB81EA" w14:textId="77777777" w:rsidTr="008A49D0">
        <w:trPr>
          <w:jc w:val="center"/>
        </w:trPr>
        <w:tc>
          <w:tcPr>
            <w:tcW w:w="3114" w:type="dxa"/>
            <w:tcBorders>
              <w:top w:val="single" w:sz="4" w:space="0" w:color="auto"/>
              <w:left w:val="single" w:sz="4" w:space="0" w:color="auto"/>
              <w:bottom w:val="single" w:sz="4" w:space="0" w:color="auto"/>
              <w:right w:val="single" w:sz="4" w:space="0" w:color="auto"/>
            </w:tcBorders>
          </w:tcPr>
          <w:p w14:paraId="2C3A1D05" w14:textId="77777777" w:rsidR="00DE3C06" w:rsidRPr="000C5171" w:rsidRDefault="00DE3C06" w:rsidP="008A49D0">
            <w:pPr>
              <w:tabs>
                <w:tab w:val="left" w:pos="708"/>
                <w:tab w:val="left" w:pos="1416"/>
                <w:tab w:val="left" w:pos="2124"/>
                <w:tab w:val="left" w:pos="2832"/>
                <w:tab w:val="left" w:pos="8175"/>
              </w:tabs>
              <w:jc w:val="center"/>
              <w:rPr>
                <w:rFonts w:eastAsia="Arial" w:cs="Arial"/>
                <w:color w:val="275317" w:themeColor="accent6" w:themeShade="80"/>
                <w:sz w:val="18"/>
                <w:szCs w:val="18"/>
              </w:rPr>
            </w:pPr>
            <w:r w:rsidRPr="000C5171">
              <w:rPr>
                <w:rFonts w:eastAsia="Arial" w:cs="Arial"/>
                <w:color w:val="275317" w:themeColor="accent6" w:themeShade="80"/>
                <w:sz w:val="18"/>
                <w:szCs w:val="18"/>
              </w:rPr>
              <w:t>Tutela T-146/24</w:t>
            </w:r>
          </w:p>
          <w:p w14:paraId="4C78086E" w14:textId="77777777" w:rsidR="00DE3C06" w:rsidRPr="000C5171" w:rsidRDefault="00DE3C06" w:rsidP="008A49D0">
            <w:pPr>
              <w:tabs>
                <w:tab w:val="left" w:pos="708"/>
                <w:tab w:val="left" w:pos="1416"/>
                <w:tab w:val="left" w:pos="2124"/>
                <w:tab w:val="left" w:pos="2832"/>
                <w:tab w:val="left" w:pos="8175"/>
              </w:tabs>
              <w:jc w:val="center"/>
              <w:rPr>
                <w:rFonts w:eastAsia="Arial" w:cs="Arial"/>
                <w:color w:val="275317" w:themeColor="accent6" w:themeShade="80"/>
                <w:sz w:val="18"/>
                <w:szCs w:val="18"/>
              </w:rPr>
            </w:pPr>
          </w:p>
          <w:p w14:paraId="33E845F8" w14:textId="77777777" w:rsidR="00DE3C06" w:rsidRPr="000C5171" w:rsidRDefault="00DE3C06" w:rsidP="008A49D0">
            <w:pPr>
              <w:tabs>
                <w:tab w:val="left" w:pos="708"/>
                <w:tab w:val="left" w:pos="1416"/>
                <w:tab w:val="left" w:pos="2124"/>
                <w:tab w:val="left" w:pos="2832"/>
                <w:tab w:val="left" w:pos="8175"/>
              </w:tabs>
              <w:jc w:val="center"/>
              <w:rPr>
                <w:rFonts w:eastAsia="Arial" w:cs="Arial"/>
                <w:color w:val="275317" w:themeColor="accent6" w:themeShade="80"/>
                <w:sz w:val="18"/>
                <w:szCs w:val="18"/>
              </w:rPr>
            </w:pPr>
          </w:p>
        </w:tc>
        <w:tc>
          <w:tcPr>
            <w:tcW w:w="5298" w:type="dxa"/>
            <w:tcBorders>
              <w:top w:val="single" w:sz="4" w:space="0" w:color="auto"/>
              <w:left w:val="single" w:sz="4" w:space="0" w:color="auto"/>
              <w:bottom w:val="single" w:sz="4" w:space="0" w:color="auto"/>
              <w:right w:val="single" w:sz="4" w:space="0" w:color="auto"/>
            </w:tcBorders>
            <w:hideMark/>
          </w:tcPr>
          <w:p w14:paraId="70D1050C" w14:textId="77777777" w:rsidR="00DE3C06" w:rsidRPr="000C5171" w:rsidRDefault="00DE3C06" w:rsidP="008A49D0">
            <w:pPr>
              <w:tabs>
                <w:tab w:val="left" w:pos="708"/>
                <w:tab w:val="left" w:pos="1416"/>
                <w:tab w:val="left" w:pos="2124"/>
                <w:tab w:val="left" w:pos="2832"/>
                <w:tab w:val="left" w:pos="8175"/>
              </w:tabs>
              <w:jc w:val="both"/>
              <w:rPr>
                <w:rFonts w:eastAsia="Arial" w:cs="Arial"/>
                <w:color w:val="275317" w:themeColor="accent6" w:themeShade="80"/>
                <w:sz w:val="18"/>
                <w:szCs w:val="18"/>
              </w:rPr>
            </w:pPr>
            <w:r w:rsidRPr="000C5171">
              <w:rPr>
                <w:rFonts w:eastAsia="Arial" w:cs="Arial"/>
                <w:color w:val="275317" w:themeColor="accent6" w:themeShade="80"/>
                <w:sz w:val="18"/>
                <w:szCs w:val="18"/>
              </w:rPr>
              <w:t>A favor de la comunidad de campesinos con vinculación al Programa PNIS en el Municipio Miraflores (Guaviare). Cumplimiento del acuerdo colectivo del PNIS</w:t>
            </w:r>
          </w:p>
        </w:tc>
      </w:tr>
      <w:tr w:rsidR="00DE3C06" w:rsidRPr="000C5171" w14:paraId="057DD195" w14:textId="77777777" w:rsidTr="008A49D0">
        <w:trPr>
          <w:trHeight w:val="841"/>
          <w:jc w:val="center"/>
        </w:trPr>
        <w:tc>
          <w:tcPr>
            <w:tcW w:w="3114" w:type="dxa"/>
            <w:tcBorders>
              <w:top w:val="single" w:sz="4" w:space="0" w:color="auto"/>
              <w:left w:val="single" w:sz="4" w:space="0" w:color="auto"/>
              <w:bottom w:val="single" w:sz="4" w:space="0" w:color="auto"/>
              <w:right w:val="single" w:sz="4" w:space="0" w:color="auto"/>
            </w:tcBorders>
          </w:tcPr>
          <w:p w14:paraId="3D73BEDB" w14:textId="77777777" w:rsidR="00DE3C06" w:rsidRPr="000C5171" w:rsidRDefault="00DE3C06" w:rsidP="008A49D0">
            <w:pPr>
              <w:tabs>
                <w:tab w:val="left" w:pos="708"/>
                <w:tab w:val="left" w:pos="1416"/>
                <w:tab w:val="left" w:pos="2124"/>
                <w:tab w:val="left" w:pos="2832"/>
                <w:tab w:val="left" w:pos="8175"/>
              </w:tabs>
              <w:jc w:val="center"/>
              <w:rPr>
                <w:rFonts w:eastAsia="Arial" w:cs="Arial"/>
                <w:color w:val="275317" w:themeColor="accent6" w:themeShade="80"/>
                <w:sz w:val="18"/>
                <w:szCs w:val="18"/>
              </w:rPr>
            </w:pPr>
            <w:r w:rsidRPr="000C5171">
              <w:rPr>
                <w:rFonts w:eastAsia="Arial" w:cs="Arial"/>
                <w:color w:val="275317" w:themeColor="accent6" w:themeShade="80"/>
                <w:sz w:val="18"/>
                <w:szCs w:val="18"/>
              </w:rPr>
              <w:t>Tutela – Consejo de Estado Secc5ª 2022-3053</w:t>
            </w:r>
          </w:p>
          <w:p w14:paraId="1C6DB107" w14:textId="77777777" w:rsidR="00DE3C06" w:rsidRPr="000C5171" w:rsidRDefault="00DE3C06" w:rsidP="008A49D0">
            <w:pPr>
              <w:tabs>
                <w:tab w:val="left" w:pos="708"/>
                <w:tab w:val="left" w:pos="1416"/>
                <w:tab w:val="left" w:pos="2124"/>
                <w:tab w:val="left" w:pos="2832"/>
                <w:tab w:val="left" w:pos="8175"/>
              </w:tabs>
              <w:jc w:val="center"/>
              <w:rPr>
                <w:rFonts w:eastAsia="Arial" w:cs="Arial"/>
                <w:color w:val="275317" w:themeColor="accent6" w:themeShade="80"/>
                <w:sz w:val="18"/>
                <w:szCs w:val="18"/>
              </w:rPr>
            </w:pPr>
          </w:p>
          <w:p w14:paraId="372D0860" w14:textId="77777777" w:rsidR="00DE3C06" w:rsidRPr="000C5171" w:rsidRDefault="00DE3C06" w:rsidP="008A49D0">
            <w:pPr>
              <w:tabs>
                <w:tab w:val="left" w:pos="708"/>
                <w:tab w:val="left" w:pos="1416"/>
                <w:tab w:val="left" w:pos="2124"/>
                <w:tab w:val="left" w:pos="2832"/>
                <w:tab w:val="left" w:pos="8175"/>
              </w:tabs>
              <w:jc w:val="center"/>
              <w:rPr>
                <w:rFonts w:eastAsia="Arial" w:cs="Arial"/>
                <w:color w:val="275317" w:themeColor="accent6" w:themeShade="80"/>
                <w:sz w:val="18"/>
                <w:szCs w:val="18"/>
              </w:rPr>
            </w:pPr>
          </w:p>
        </w:tc>
        <w:tc>
          <w:tcPr>
            <w:tcW w:w="5298" w:type="dxa"/>
            <w:tcBorders>
              <w:top w:val="single" w:sz="4" w:space="0" w:color="auto"/>
              <w:left w:val="single" w:sz="4" w:space="0" w:color="auto"/>
              <w:bottom w:val="single" w:sz="4" w:space="0" w:color="auto"/>
              <w:right w:val="single" w:sz="4" w:space="0" w:color="auto"/>
            </w:tcBorders>
            <w:hideMark/>
          </w:tcPr>
          <w:p w14:paraId="55A71281" w14:textId="77777777" w:rsidR="00DE3C06" w:rsidRPr="000C5171" w:rsidRDefault="00DE3C06" w:rsidP="008A49D0">
            <w:pPr>
              <w:tabs>
                <w:tab w:val="left" w:pos="708"/>
                <w:tab w:val="left" w:pos="1416"/>
                <w:tab w:val="left" w:pos="2124"/>
                <w:tab w:val="left" w:pos="2832"/>
                <w:tab w:val="left" w:pos="8175"/>
              </w:tabs>
              <w:jc w:val="both"/>
              <w:rPr>
                <w:rFonts w:eastAsia="Arial" w:cs="Arial"/>
                <w:color w:val="275317" w:themeColor="accent6" w:themeShade="80"/>
                <w:sz w:val="18"/>
                <w:szCs w:val="18"/>
              </w:rPr>
            </w:pPr>
            <w:r w:rsidRPr="000C5171">
              <w:rPr>
                <w:rFonts w:eastAsia="Arial" w:cs="Arial"/>
                <w:color w:val="275317" w:themeColor="accent6" w:themeShade="80"/>
                <w:sz w:val="18"/>
                <w:szCs w:val="18"/>
              </w:rPr>
              <w:t>A favor de la comunidad ubicada en la zona rural de Tumaco, Corregimiento de Llorente-ASOPORCA. Cumplimiento del acuerdo colectivo del PNIS.</w:t>
            </w:r>
          </w:p>
        </w:tc>
      </w:tr>
      <w:tr w:rsidR="00DE3C06" w:rsidRPr="000C5171" w14:paraId="695AE895" w14:textId="77777777" w:rsidTr="008A49D0">
        <w:trPr>
          <w:jc w:val="center"/>
        </w:trPr>
        <w:tc>
          <w:tcPr>
            <w:tcW w:w="3114" w:type="dxa"/>
            <w:tcBorders>
              <w:top w:val="single" w:sz="4" w:space="0" w:color="auto"/>
              <w:left w:val="single" w:sz="4" w:space="0" w:color="auto"/>
              <w:bottom w:val="single" w:sz="4" w:space="0" w:color="auto"/>
              <w:right w:val="single" w:sz="4" w:space="0" w:color="auto"/>
            </w:tcBorders>
          </w:tcPr>
          <w:p w14:paraId="46DDF820" w14:textId="77777777" w:rsidR="00DE3C06" w:rsidRPr="000C5171" w:rsidRDefault="00DE3C06" w:rsidP="008A49D0">
            <w:pPr>
              <w:tabs>
                <w:tab w:val="left" w:pos="708"/>
                <w:tab w:val="left" w:pos="1416"/>
                <w:tab w:val="left" w:pos="2124"/>
                <w:tab w:val="left" w:pos="2832"/>
                <w:tab w:val="left" w:pos="8175"/>
              </w:tabs>
              <w:jc w:val="center"/>
              <w:rPr>
                <w:rFonts w:eastAsia="Arial" w:cs="Arial"/>
                <w:color w:val="275317" w:themeColor="accent6" w:themeShade="80"/>
                <w:sz w:val="18"/>
                <w:szCs w:val="18"/>
              </w:rPr>
            </w:pPr>
            <w:r w:rsidRPr="000C5171">
              <w:rPr>
                <w:rFonts w:eastAsia="Arial" w:cs="Arial"/>
                <w:color w:val="275317" w:themeColor="accent6" w:themeShade="80"/>
                <w:sz w:val="18"/>
                <w:szCs w:val="18"/>
              </w:rPr>
              <w:t>Tutela T-172/24</w:t>
            </w:r>
          </w:p>
          <w:p w14:paraId="4C84C9E7" w14:textId="77777777" w:rsidR="00DE3C06" w:rsidRPr="000C5171" w:rsidRDefault="00DE3C06" w:rsidP="008A49D0">
            <w:pPr>
              <w:tabs>
                <w:tab w:val="left" w:pos="708"/>
                <w:tab w:val="left" w:pos="1416"/>
                <w:tab w:val="left" w:pos="2124"/>
                <w:tab w:val="left" w:pos="2832"/>
                <w:tab w:val="left" w:pos="8175"/>
              </w:tabs>
              <w:jc w:val="center"/>
              <w:rPr>
                <w:rFonts w:eastAsia="Arial" w:cs="Arial"/>
                <w:color w:val="275317" w:themeColor="accent6" w:themeShade="80"/>
                <w:sz w:val="18"/>
                <w:szCs w:val="18"/>
              </w:rPr>
            </w:pPr>
          </w:p>
          <w:p w14:paraId="1D427A70" w14:textId="77777777" w:rsidR="00DE3C06" w:rsidRPr="000C5171" w:rsidRDefault="00DE3C06" w:rsidP="008A49D0">
            <w:pPr>
              <w:tabs>
                <w:tab w:val="left" w:pos="708"/>
                <w:tab w:val="left" w:pos="1416"/>
                <w:tab w:val="left" w:pos="2124"/>
                <w:tab w:val="left" w:pos="2832"/>
                <w:tab w:val="left" w:pos="8175"/>
              </w:tabs>
              <w:jc w:val="center"/>
              <w:rPr>
                <w:rFonts w:eastAsia="Arial" w:cs="Arial"/>
                <w:color w:val="275317" w:themeColor="accent6" w:themeShade="80"/>
                <w:sz w:val="18"/>
                <w:szCs w:val="18"/>
              </w:rPr>
            </w:pPr>
          </w:p>
        </w:tc>
        <w:tc>
          <w:tcPr>
            <w:tcW w:w="5298" w:type="dxa"/>
            <w:tcBorders>
              <w:top w:val="single" w:sz="4" w:space="0" w:color="auto"/>
              <w:left w:val="single" w:sz="4" w:space="0" w:color="auto"/>
              <w:bottom w:val="single" w:sz="4" w:space="0" w:color="auto"/>
              <w:right w:val="single" w:sz="4" w:space="0" w:color="auto"/>
            </w:tcBorders>
          </w:tcPr>
          <w:p w14:paraId="1A5FD429" w14:textId="77777777" w:rsidR="00DE3C06" w:rsidRPr="000C5171" w:rsidRDefault="00DE3C06" w:rsidP="008A49D0">
            <w:pPr>
              <w:tabs>
                <w:tab w:val="left" w:pos="708"/>
                <w:tab w:val="left" w:pos="1416"/>
                <w:tab w:val="left" w:pos="2124"/>
                <w:tab w:val="left" w:pos="2832"/>
                <w:tab w:val="left" w:pos="8175"/>
              </w:tabs>
              <w:jc w:val="both"/>
              <w:rPr>
                <w:rFonts w:eastAsia="Arial" w:cs="Arial"/>
                <w:color w:val="275317" w:themeColor="accent6" w:themeShade="80"/>
                <w:sz w:val="18"/>
                <w:szCs w:val="18"/>
              </w:rPr>
            </w:pPr>
            <w:r w:rsidRPr="000C5171">
              <w:rPr>
                <w:rFonts w:eastAsia="Arial" w:cs="Arial"/>
                <w:color w:val="275317" w:themeColor="accent6" w:themeShade="80"/>
                <w:sz w:val="18"/>
                <w:szCs w:val="18"/>
              </w:rPr>
              <w:t>A favor del Consejo Comunitario del Rio Mejicano, Consejo Comunitario de Alto Mira y Frontera en San Andrés de Tumaco. Cumplimiento y adecuación del acuerdo colectivo del PNIS.</w:t>
            </w:r>
          </w:p>
        </w:tc>
      </w:tr>
      <w:tr w:rsidR="00DE3C06" w:rsidRPr="000C5171" w14:paraId="1101D282" w14:textId="77777777" w:rsidTr="008A49D0">
        <w:trPr>
          <w:jc w:val="center"/>
        </w:trPr>
        <w:tc>
          <w:tcPr>
            <w:tcW w:w="3114" w:type="dxa"/>
            <w:tcBorders>
              <w:top w:val="single" w:sz="4" w:space="0" w:color="auto"/>
              <w:left w:val="single" w:sz="4" w:space="0" w:color="auto"/>
              <w:bottom w:val="single" w:sz="4" w:space="0" w:color="auto"/>
              <w:right w:val="single" w:sz="4" w:space="0" w:color="auto"/>
            </w:tcBorders>
          </w:tcPr>
          <w:p w14:paraId="5F99851A" w14:textId="77777777" w:rsidR="00DE3C06" w:rsidRPr="000C5171" w:rsidRDefault="00DE3C06" w:rsidP="008A49D0">
            <w:pPr>
              <w:tabs>
                <w:tab w:val="left" w:pos="708"/>
                <w:tab w:val="left" w:pos="1416"/>
                <w:tab w:val="left" w:pos="2124"/>
                <w:tab w:val="left" w:pos="2832"/>
                <w:tab w:val="left" w:pos="8175"/>
              </w:tabs>
              <w:jc w:val="center"/>
              <w:rPr>
                <w:rFonts w:eastAsia="Arial" w:cs="Arial"/>
                <w:color w:val="275317" w:themeColor="accent6" w:themeShade="80"/>
                <w:sz w:val="18"/>
                <w:szCs w:val="18"/>
              </w:rPr>
            </w:pPr>
            <w:r w:rsidRPr="000C5171">
              <w:rPr>
                <w:rFonts w:eastAsia="Arial" w:cs="Arial"/>
                <w:color w:val="275317" w:themeColor="accent6" w:themeShade="80"/>
                <w:sz w:val="18"/>
                <w:szCs w:val="18"/>
              </w:rPr>
              <w:t>Tutela T-052 de 2017 Tribunal Superior de Cúcuta / T-498 de 2023 y 20210011400 / Tutela en revisión de Corte Constitucional T-11.560.486 20250212101</w:t>
            </w:r>
          </w:p>
        </w:tc>
        <w:tc>
          <w:tcPr>
            <w:tcW w:w="5298" w:type="dxa"/>
            <w:tcBorders>
              <w:top w:val="single" w:sz="4" w:space="0" w:color="auto"/>
              <w:left w:val="single" w:sz="4" w:space="0" w:color="auto"/>
              <w:bottom w:val="single" w:sz="4" w:space="0" w:color="auto"/>
              <w:right w:val="single" w:sz="4" w:space="0" w:color="auto"/>
            </w:tcBorders>
          </w:tcPr>
          <w:p w14:paraId="1F9422A5" w14:textId="77777777" w:rsidR="00DE3C06" w:rsidRPr="000C5171" w:rsidRDefault="00DE3C06" w:rsidP="008A49D0">
            <w:pPr>
              <w:tabs>
                <w:tab w:val="left" w:pos="708"/>
                <w:tab w:val="left" w:pos="1416"/>
                <w:tab w:val="left" w:pos="2124"/>
                <w:tab w:val="left" w:pos="2832"/>
                <w:tab w:val="left" w:pos="8175"/>
              </w:tabs>
              <w:jc w:val="both"/>
              <w:rPr>
                <w:rFonts w:eastAsia="Arial" w:cs="Arial"/>
                <w:color w:val="275317" w:themeColor="accent6" w:themeShade="80"/>
                <w:sz w:val="18"/>
                <w:szCs w:val="18"/>
              </w:rPr>
            </w:pPr>
            <w:r w:rsidRPr="000C5171">
              <w:rPr>
                <w:rFonts w:eastAsia="Arial" w:cs="Arial"/>
                <w:color w:val="275317" w:themeColor="accent6" w:themeShade="80"/>
                <w:sz w:val="18"/>
                <w:szCs w:val="18"/>
              </w:rPr>
              <w:t>A favor del pueblo BARI-ASCAMCAT en el Catatumbo, Norte de Santander. Necesidad de adelantar consulta previa en materia de sustitución voluntaria de cultivos de uso ilícito.</w:t>
            </w:r>
          </w:p>
        </w:tc>
      </w:tr>
    </w:tbl>
    <w:p w14:paraId="0DF59268" w14:textId="77777777" w:rsidR="00DE3C06" w:rsidRPr="000C5171" w:rsidRDefault="00DE3C06" w:rsidP="00DE3C06">
      <w:pPr>
        <w:pStyle w:val="Prrafodelista"/>
        <w:spacing w:after="0" w:line="276" w:lineRule="auto"/>
        <w:jc w:val="center"/>
        <w:rPr>
          <w:rFonts w:cs="Tahoma"/>
          <w:sz w:val="22"/>
          <w:szCs w:val="22"/>
        </w:rPr>
      </w:pPr>
    </w:p>
    <w:p w14:paraId="20FE56B5" w14:textId="77777777" w:rsidR="00DE3C06" w:rsidRPr="000C5171" w:rsidRDefault="00DE3C06">
      <w:pPr>
        <w:pStyle w:val="Prrafodelista"/>
        <w:numPr>
          <w:ilvl w:val="0"/>
          <w:numId w:val="13"/>
        </w:numPr>
        <w:tabs>
          <w:tab w:val="clear" w:pos="720"/>
        </w:tabs>
        <w:ind w:left="709" w:hanging="283"/>
        <w:jc w:val="both"/>
        <w:rPr>
          <w:rFonts w:cs="Tahoma"/>
          <w:sz w:val="22"/>
          <w:szCs w:val="22"/>
        </w:rPr>
      </w:pPr>
      <w:r w:rsidRPr="000C5171">
        <w:rPr>
          <w:rFonts w:cs="Tahoma"/>
          <w:sz w:val="22"/>
          <w:szCs w:val="22"/>
        </w:rPr>
        <w:t>Procesos JEP: En el marco del Acuerdo Final para la Terminación del Conflicto y la Construcción de una Paz Estable y Duradera, suscrito el 24 de noviembre de 2016 entre el Gobierno Nacional y las Fuerzas Armadas Revolucionarias de Colombia (FARC-EP), a través del Acto Legislativo 01 de 2017, se creó la Jurisdicción Especial para la Paz (JEP)</w:t>
      </w:r>
      <w:r w:rsidRPr="000C5171">
        <w:rPr>
          <w:rStyle w:val="Refdenotaalpie"/>
          <w:rFonts w:cs="Tahoma"/>
          <w:sz w:val="22"/>
          <w:szCs w:val="22"/>
        </w:rPr>
        <w:footnoteReference w:id="40"/>
      </w:r>
      <w:r w:rsidRPr="000C5171">
        <w:rPr>
          <w:rFonts w:cs="Tahoma"/>
          <w:sz w:val="22"/>
          <w:szCs w:val="22"/>
        </w:rPr>
        <w:t>.</w:t>
      </w:r>
    </w:p>
    <w:p w14:paraId="585116B3" w14:textId="77777777" w:rsidR="00DE3C06" w:rsidRPr="000C5171" w:rsidRDefault="00DE3C06" w:rsidP="00DE3C06">
      <w:pPr>
        <w:pStyle w:val="Prrafodelista"/>
        <w:spacing w:line="276" w:lineRule="auto"/>
        <w:rPr>
          <w:rFonts w:cs="Tahoma"/>
          <w:sz w:val="22"/>
          <w:szCs w:val="22"/>
        </w:rPr>
      </w:pPr>
    </w:p>
    <w:p w14:paraId="39E0ACAA" w14:textId="77777777" w:rsidR="00DE3C06" w:rsidRPr="000C5171" w:rsidRDefault="00DE3C06" w:rsidP="00DE3C06">
      <w:pPr>
        <w:pStyle w:val="Prrafodelista"/>
        <w:spacing w:after="0" w:line="276" w:lineRule="auto"/>
        <w:ind w:left="709"/>
        <w:jc w:val="both"/>
        <w:rPr>
          <w:rFonts w:cs="Tahoma"/>
          <w:sz w:val="22"/>
          <w:szCs w:val="22"/>
        </w:rPr>
      </w:pPr>
      <w:r w:rsidRPr="000C5171">
        <w:rPr>
          <w:rFonts w:cs="Tahoma"/>
          <w:sz w:val="22"/>
          <w:szCs w:val="22"/>
        </w:rPr>
        <w:t xml:space="preserve">Los procesos de la JEP se agruparon en 11 </w:t>
      </w:r>
      <w:proofErr w:type="spellStart"/>
      <w:r w:rsidRPr="000C5171">
        <w:rPr>
          <w:rFonts w:cs="Tahoma"/>
          <w:sz w:val="22"/>
          <w:szCs w:val="22"/>
        </w:rPr>
        <w:t>Macrocasos</w:t>
      </w:r>
      <w:proofErr w:type="spellEnd"/>
      <w:r w:rsidRPr="000C5171">
        <w:rPr>
          <w:rFonts w:cs="Tahoma"/>
          <w:sz w:val="22"/>
          <w:szCs w:val="22"/>
        </w:rPr>
        <w:t>, así: 1. Toma de rehenes y graves privaciones de la libertad. 2. Situación territorial de Ricaurte, Tumaco y Barbacoas, Nariño. 3. Falsos positivos. 4. Situación territorial de la región Urabá. 5. Situación territorial de la región del norte del Cauca y Valle del Cauca. 6. Victimización de la UP. 7. Reclutamiento y utilización de NNA en el conflicto armado. 8. Crímenes cometidos por la fuerza pública y paramilitares. 9. Crímenes contra pueblos étnicos. 10. Crímenes cometidos por las FARC. 11. Violencia basada en género, sexual y reproductiva.</w:t>
      </w:r>
    </w:p>
    <w:p w14:paraId="7B4CD537" w14:textId="77777777" w:rsidR="00DE3C06" w:rsidRPr="000C5171" w:rsidRDefault="00DE3C06" w:rsidP="00DE3C06">
      <w:pPr>
        <w:pStyle w:val="Prrafodelista"/>
        <w:spacing w:after="0" w:line="276" w:lineRule="auto"/>
        <w:ind w:left="709"/>
        <w:jc w:val="both"/>
        <w:rPr>
          <w:rFonts w:cs="Tahoma"/>
          <w:sz w:val="22"/>
          <w:szCs w:val="22"/>
        </w:rPr>
      </w:pPr>
    </w:p>
    <w:p w14:paraId="4D9C888E" w14:textId="77777777" w:rsidR="00DE3C06" w:rsidRPr="000C5171" w:rsidRDefault="00DE3C06" w:rsidP="00DE3C06">
      <w:pPr>
        <w:pStyle w:val="Prrafodelista"/>
        <w:spacing w:after="0" w:line="276" w:lineRule="auto"/>
        <w:ind w:left="709"/>
        <w:jc w:val="both"/>
        <w:rPr>
          <w:rFonts w:cs="Tahoma"/>
          <w:sz w:val="22"/>
          <w:szCs w:val="22"/>
        </w:rPr>
      </w:pPr>
      <w:r w:rsidRPr="000C5171">
        <w:rPr>
          <w:rFonts w:cs="Tahoma"/>
          <w:sz w:val="22"/>
          <w:szCs w:val="22"/>
        </w:rPr>
        <w:t>Las órdenes proferidas por la JEP son órdenes complejas, directrices de política pública para formular y ejecutar proyectos restaurativos por parte del Estado, a través de sus entidades públicas y estos procesos no establecen expresamente una cuantía económica determinada. A la fecha, la ART no ha sido condenada en una suma de dinero a proveer para el cumplimiento de órdenes o medidas judiciales, se trata de gestión y articulación teniendo en cuenta la misionalidad de la Agencia.</w:t>
      </w:r>
    </w:p>
    <w:p w14:paraId="092F86E2" w14:textId="77777777" w:rsidR="00DE3C06" w:rsidRPr="000C5171" w:rsidRDefault="00DE3C06" w:rsidP="00DE3C06">
      <w:pPr>
        <w:pStyle w:val="Prrafodelista"/>
        <w:spacing w:after="0" w:line="276" w:lineRule="auto"/>
        <w:ind w:left="709"/>
        <w:jc w:val="both"/>
        <w:rPr>
          <w:rFonts w:cs="Tahoma"/>
          <w:sz w:val="22"/>
          <w:szCs w:val="22"/>
        </w:rPr>
      </w:pPr>
    </w:p>
    <w:p w14:paraId="7F5630AA" w14:textId="77777777" w:rsidR="00DE3C06" w:rsidRPr="000C5171" w:rsidRDefault="00DE3C06" w:rsidP="00DE3C06">
      <w:pPr>
        <w:pStyle w:val="Prrafodelista"/>
        <w:spacing w:after="0" w:line="276" w:lineRule="auto"/>
        <w:ind w:left="709"/>
        <w:jc w:val="both"/>
        <w:rPr>
          <w:rFonts w:cs="Tahoma"/>
          <w:sz w:val="22"/>
          <w:szCs w:val="22"/>
        </w:rPr>
      </w:pPr>
      <w:r w:rsidRPr="000C5171">
        <w:rPr>
          <w:rFonts w:cs="Tahoma"/>
          <w:sz w:val="22"/>
          <w:szCs w:val="22"/>
        </w:rPr>
        <w:t xml:space="preserve">La ART ha sido vinculada en ocho (8) procesos judiciales relacionados con los </w:t>
      </w:r>
      <w:proofErr w:type="spellStart"/>
      <w:r w:rsidRPr="000C5171">
        <w:rPr>
          <w:rFonts w:cs="Tahoma"/>
          <w:sz w:val="22"/>
          <w:szCs w:val="22"/>
        </w:rPr>
        <w:t>Macrocasos</w:t>
      </w:r>
      <w:proofErr w:type="spellEnd"/>
      <w:r w:rsidRPr="000C5171">
        <w:rPr>
          <w:rFonts w:cs="Tahoma"/>
          <w:sz w:val="22"/>
          <w:szCs w:val="22"/>
        </w:rPr>
        <w:t xml:space="preserve"> 1, 2, 3, 4, 5 y 7. Se han proferido distintos autos con órdenes, medidas cautelares y sentencias. Respecto de las sentencias, solo se han proferido dos (2). Una donde no se ordenó medida alguna a la ART y otra donde si se profirió orden, pero se encuentra pendiente de decidir la procedencia del recurso de apelación por parte de la segunda instancia, por lo que está en efectos suspensivos. Se adjunta documento Excel denominado: </w:t>
      </w:r>
      <w:r w:rsidRPr="000C5171">
        <w:rPr>
          <w:rFonts w:cs="Tahoma"/>
          <w:i/>
          <w:iCs/>
          <w:sz w:val="22"/>
          <w:szCs w:val="22"/>
        </w:rPr>
        <w:t>“Procesos JEP ART”</w:t>
      </w:r>
      <w:r w:rsidRPr="000C5171">
        <w:rPr>
          <w:rFonts w:cs="Tahoma"/>
          <w:sz w:val="22"/>
          <w:szCs w:val="22"/>
        </w:rPr>
        <w:t xml:space="preserve"> </w:t>
      </w:r>
      <w:r w:rsidRPr="000C5171">
        <w:rPr>
          <w:rFonts w:cs="Tahoma"/>
          <w:b/>
          <w:bCs/>
          <w:sz w:val="22"/>
          <w:szCs w:val="22"/>
        </w:rPr>
        <w:t>(ANEXO 29.E)</w:t>
      </w:r>
    </w:p>
    <w:p w14:paraId="2895DC2D" w14:textId="77777777" w:rsidR="00DE3C06" w:rsidRPr="000C5171" w:rsidRDefault="00DE3C06" w:rsidP="00DE3C06">
      <w:pPr>
        <w:pStyle w:val="Prrafodelista"/>
        <w:spacing w:after="0" w:line="276" w:lineRule="auto"/>
        <w:jc w:val="both"/>
        <w:rPr>
          <w:rFonts w:cs="Tahoma"/>
          <w:sz w:val="22"/>
          <w:szCs w:val="22"/>
        </w:rPr>
      </w:pPr>
    </w:p>
    <w:p w14:paraId="182C6BEA" w14:textId="77777777" w:rsidR="00DE3C06" w:rsidRPr="000C5171" w:rsidRDefault="00DE3C06">
      <w:pPr>
        <w:pStyle w:val="Prrafodelista"/>
        <w:numPr>
          <w:ilvl w:val="0"/>
          <w:numId w:val="13"/>
        </w:numPr>
        <w:spacing w:after="0" w:line="276" w:lineRule="auto"/>
        <w:jc w:val="both"/>
        <w:rPr>
          <w:rFonts w:cs="Tahoma"/>
          <w:sz w:val="22"/>
          <w:szCs w:val="22"/>
        </w:rPr>
      </w:pPr>
      <w:r w:rsidRPr="000C5171">
        <w:rPr>
          <w:rFonts w:cs="Tahoma"/>
          <w:sz w:val="22"/>
          <w:szCs w:val="22"/>
        </w:rPr>
        <w:t xml:space="preserve">Procesos de restitución de derechos territoriales étnicos o colectivos: Son procesos de carácter extraordinario y de naturaleza especial en el marco jurídico para la restitución de territorios colectivos y la justicia transicional que se fundamentan en instrumentos internacionales relacionados con los derechos de los grupos étnicos, la población en situación de desplazamiento forzado y los refugiados. </w:t>
      </w:r>
    </w:p>
    <w:p w14:paraId="7B34A102" w14:textId="77777777" w:rsidR="00DE3C06" w:rsidRPr="000C5171" w:rsidRDefault="00DE3C06" w:rsidP="00DE3C06">
      <w:pPr>
        <w:pStyle w:val="Prrafodelista"/>
        <w:spacing w:line="276" w:lineRule="auto"/>
        <w:rPr>
          <w:rFonts w:cs="Tahoma"/>
          <w:sz w:val="22"/>
          <w:szCs w:val="22"/>
        </w:rPr>
      </w:pPr>
    </w:p>
    <w:p w14:paraId="2D11C1FD" w14:textId="77777777" w:rsidR="00DE3C06" w:rsidRPr="000C5171" w:rsidRDefault="00DE3C06" w:rsidP="00DE3C06">
      <w:pPr>
        <w:pStyle w:val="Prrafodelista"/>
        <w:spacing w:after="0" w:line="276" w:lineRule="auto"/>
        <w:ind w:left="709"/>
        <w:jc w:val="both"/>
        <w:rPr>
          <w:rFonts w:cs="Tahoma"/>
          <w:sz w:val="22"/>
          <w:szCs w:val="22"/>
        </w:rPr>
      </w:pPr>
      <w:r w:rsidRPr="000C5171">
        <w:rPr>
          <w:rFonts w:cs="Tahoma"/>
          <w:sz w:val="22"/>
          <w:szCs w:val="22"/>
        </w:rPr>
        <w:t xml:space="preserve">Su naturaleza especial hace que no sea posible establecer una condena en concreto con un valor estimado o que pueda atribuirse un riesgo procesal de pérdida o una provisión contable, la vinculación se hace para restablecer los derechos fundamentales de las comunidades. </w:t>
      </w:r>
    </w:p>
    <w:p w14:paraId="1D4BCEEB" w14:textId="77777777" w:rsidR="00DE3C06" w:rsidRPr="000C5171" w:rsidRDefault="00DE3C06" w:rsidP="00DE3C06">
      <w:pPr>
        <w:pStyle w:val="Prrafodelista"/>
        <w:spacing w:after="0" w:line="276" w:lineRule="auto"/>
        <w:ind w:left="709"/>
        <w:jc w:val="both"/>
        <w:rPr>
          <w:rFonts w:cs="Tahoma"/>
          <w:sz w:val="22"/>
          <w:szCs w:val="22"/>
        </w:rPr>
      </w:pPr>
    </w:p>
    <w:p w14:paraId="004DD635" w14:textId="77777777" w:rsidR="00DE3C06" w:rsidRPr="000C5171" w:rsidRDefault="00DE3C06" w:rsidP="00DE3C06">
      <w:pPr>
        <w:pStyle w:val="Prrafodelista"/>
        <w:spacing w:after="0" w:line="276" w:lineRule="auto"/>
        <w:ind w:left="709"/>
        <w:jc w:val="both"/>
        <w:rPr>
          <w:rFonts w:cs="Tahoma"/>
          <w:b/>
          <w:bCs/>
          <w:sz w:val="22"/>
          <w:szCs w:val="22"/>
        </w:rPr>
      </w:pPr>
      <w:r w:rsidRPr="000C5171">
        <w:rPr>
          <w:rFonts w:cs="Tahoma"/>
          <w:sz w:val="22"/>
          <w:szCs w:val="22"/>
        </w:rPr>
        <w:t xml:space="preserve">A la fecha la ART registra (339) procesos activos de restitución de derechos territoriales étnicos y medidas cautelares, de los cuales (59) procesos corresponden a actuaciones en las que la Entidad comparece como vinculada, ejerce la representación judicial, entrega informes periódicos, asiste a audiencias de control y seguimiento y contesta los requerimientos de las entidades y órganos de control. Se adjunta documento Excel denominado: </w:t>
      </w:r>
      <w:r w:rsidRPr="000C5171">
        <w:rPr>
          <w:rFonts w:cs="Tahoma"/>
          <w:i/>
          <w:iCs/>
          <w:sz w:val="22"/>
          <w:szCs w:val="22"/>
        </w:rPr>
        <w:t>“Procesos étnicos 2026”</w:t>
      </w:r>
      <w:r w:rsidRPr="000C5171">
        <w:rPr>
          <w:rFonts w:cs="Tahoma"/>
          <w:sz w:val="22"/>
          <w:szCs w:val="22"/>
        </w:rPr>
        <w:t xml:space="preserve">. </w:t>
      </w:r>
      <w:r w:rsidRPr="000C5171">
        <w:rPr>
          <w:rFonts w:cs="Tahoma"/>
          <w:b/>
          <w:bCs/>
          <w:sz w:val="22"/>
          <w:szCs w:val="22"/>
        </w:rPr>
        <w:t>(ANEXO 29.F)</w:t>
      </w:r>
    </w:p>
    <w:p w14:paraId="451F51A5" w14:textId="77777777" w:rsidR="00DE3C06" w:rsidRPr="000C5171" w:rsidRDefault="00DE3C06" w:rsidP="00DE3C06">
      <w:pPr>
        <w:spacing w:line="276" w:lineRule="auto"/>
        <w:ind w:left="709"/>
        <w:rPr>
          <w:rFonts w:cs="Tahoma"/>
          <w:sz w:val="22"/>
          <w:szCs w:val="22"/>
        </w:rPr>
      </w:pPr>
    </w:p>
    <w:p w14:paraId="5D8C0F17" w14:textId="77777777" w:rsidR="00DE3C06" w:rsidRPr="000C5171" w:rsidRDefault="00DE3C06">
      <w:pPr>
        <w:pStyle w:val="Prrafodelista"/>
        <w:numPr>
          <w:ilvl w:val="0"/>
          <w:numId w:val="13"/>
        </w:numPr>
        <w:spacing w:after="0" w:line="276" w:lineRule="auto"/>
        <w:jc w:val="both"/>
        <w:rPr>
          <w:rFonts w:cs="Tahoma"/>
          <w:b/>
          <w:bCs/>
          <w:sz w:val="22"/>
          <w:szCs w:val="22"/>
        </w:rPr>
      </w:pPr>
      <w:r w:rsidRPr="000C5171">
        <w:rPr>
          <w:rFonts w:cs="Tahoma"/>
          <w:b/>
          <w:bCs/>
          <w:sz w:val="22"/>
          <w:szCs w:val="22"/>
        </w:rPr>
        <w:t xml:space="preserve">Procesos ante la Comisión Interamericana de Derechos Humanos </w:t>
      </w:r>
    </w:p>
    <w:p w14:paraId="612BE003" w14:textId="77777777" w:rsidR="00DE3C06" w:rsidRPr="000C5171" w:rsidRDefault="00DE3C06" w:rsidP="00DE3C06">
      <w:pPr>
        <w:pStyle w:val="Prrafodelista"/>
        <w:spacing w:after="0" w:line="276" w:lineRule="auto"/>
        <w:jc w:val="both"/>
        <w:rPr>
          <w:rFonts w:cs="Tahoma"/>
          <w:b/>
          <w:bCs/>
          <w:sz w:val="22"/>
          <w:szCs w:val="22"/>
        </w:rPr>
      </w:pPr>
    </w:p>
    <w:tbl>
      <w:tblPr>
        <w:tblStyle w:val="Tablaconcuadrcula"/>
        <w:tblW w:w="0" w:type="auto"/>
        <w:jc w:val="center"/>
        <w:tblLook w:val="04A0" w:firstRow="1" w:lastRow="0" w:firstColumn="1" w:lastColumn="0" w:noHBand="0" w:noVBand="1"/>
      </w:tblPr>
      <w:tblGrid>
        <w:gridCol w:w="3654"/>
        <w:gridCol w:w="4611"/>
      </w:tblGrid>
      <w:tr w:rsidR="00DE3C06" w:rsidRPr="00422D9A" w14:paraId="7C2E4076" w14:textId="77777777" w:rsidTr="008A49D0">
        <w:trPr>
          <w:jc w:val="center"/>
        </w:trPr>
        <w:tc>
          <w:tcPr>
            <w:tcW w:w="3654" w:type="dxa"/>
            <w:tcBorders>
              <w:top w:val="single" w:sz="4" w:space="0" w:color="auto"/>
              <w:left w:val="single" w:sz="4" w:space="0" w:color="auto"/>
              <w:bottom w:val="single" w:sz="4" w:space="0" w:color="auto"/>
              <w:right w:val="single" w:sz="4" w:space="0" w:color="auto"/>
            </w:tcBorders>
            <w:shd w:val="clear" w:color="auto" w:fill="C1F0C7"/>
            <w:hideMark/>
          </w:tcPr>
          <w:p w14:paraId="6B3DBA30" w14:textId="77777777" w:rsidR="00DE3C06" w:rsidRPr="00422D9A" w:rsidRDefault="00DE3C06" w:rsidP="008A49D0">
            <w:pPr>
              <w:tabs>
                <w:tab w:val="left" w:pos="708"/>
                <w:tab w:val="left" w:pos="1416"/>
                <w:tab w:val="left" w:pos="2124"/>
                <w:tab w:val="left" w:pos="2832"/>
                <w:tab w:val="left" w:pos="8175"/>
              </w:tabs>
              <w:jc w:val="center"/>
              <w:rPr>
                <w:rFonts w:eastAsia="Arial" w:cs="Arial"/>
                <w:b/>
                <w:bCs/>
                <w:color w:val="275317" w:themeColor="accent6" w:themeShade="80"/>
                <w:sz w:val="16"/>
                <w:szCs w:val="16"/>
              </w:rPr>
            </w:pPr>
            <w:r w:rsidRPr="00422D9A">
              <w:rPr>
                <w:rFonts w:eastAsia="Arial" w:cs="Arial"/>
                <w:b/>
                <w:bCs/>
                <w:color w:val="275317" w:themeColor="accent6" w:themeShade="80"/>
                <w:sz w:val="16"/>
                <w:szCs w:val="16"/>
              </w:rPr>
              <w:t>Clase de proceso y No. de sentencia</w:t>
            </w:r>
          </w:p>
        </w:tc>
        <w:tc>
          <w:tcPr>
            <w:tcW w:w="4611" w:type="dxa"/>
            <w:tcBorders>
              <w:top w:val="single" w:sz="4" w:space="0" w:color="auto"/>
              <w:left w:val="single" w:sz="4" w:space="0" w:color="auto"/>
              <w:bottom w:val="single" w:sz="4" w:space="0" w:color="auto"/>
              <w:right w:val="single" w:sz="4" w:space="0" w:color="auto"/>
            </w:tcBorders>
            <w:shd w:val="clear" w:color="auto" w:fill="C1F0C7"/>
            <w:hideMark/>
          </w:tcPr>
          <w:p w14:paraId="3A1CC13E" w14:textId="77777777" w:rsidR="00DE3C06" w:rsidRPr="00422D9A" w:rsidRDefault="00DE3C06" w:rsidP="008A49D0">
            <w:pPr>
              <w:tabs>
                <w:tab w:val="left" w:pos="708"/>
                <w:tab w:val="left" w:pos="1416"/>
                <w:tab w:val="left" w:pos="2124"/>
                <w:tab w:val="left" w:pos="2832"/>
                <w:tab w:val="left" w:pos="8175"/>
              </w:tabs>
              <w:jc w:val="center"/>
              <w:rPr>
                <w:rFonts w:eastAsia="Arial" w:cs="Arial"/>
                <w:b/>
                <w:bCs/>
                <w:color w:val="275317" w:themeColor="accent6" w:themeShade="80"/>
                <w:sz w:val="16"/>
                <w:szCs w:val="16"/>
              </w:rPr>
            </w:pPr>
            <w:r w:rsidRPr="00422D9A">
              <w:rPr>
                <w:rFonts w:eastAsia="Arial" w:cs="Arial"/>
                <w:b/>
                <w:bCs/>
                <w:color w:val="275317" w:themeColor="accent6" w:themeShade="80"/>
                <w:sz w:val="16"/>
                <w:szCs w:val="16"/>
              </w:rPr>
              <w:t>Beneficiarios de la sentencia</w:t>
            </w:r>
          </w:p>
        </w:tc>
      </w:tr>
      <w:tr w:rsidR="00DE3C06" w:rsidRPr="00422D9A" w14:paraId="783241B4" w14:textId="77777777" w:rsidTr="008A49D0">
        <w:trPr>
          <w:jc w:val="center"/>
        </w:trPr>
        <w:tc>
          <w:tcPr>
            <w:tcW w:w="3654" w:type="dxa"/>
            <w:tcBorders>
              <w:top w:val="single" w:sz="4" w:space="0" w:color="auto"/>
              <w:left w:val="single" w:sz="4" w:space="0" w:color="auto"/>
              <w:bottom w:val="single" w:sz="4" w:space="0" w:color="auto"/>
              <w:right w:val="single" w:sz="4" w:space="0" w:color="auto"/>
            </w:tcBorders>
          </w:tcPr>
          <w:p w14:paraId="156BE003" w14:textId="77777777" w:rsidR="00DE3C06" w:rsidRPr="00422D9A" w:rsidRDefault="00DE3C06" w:rsidP="008A49D0">
            <w:pPr>
              <w:tabs>
                <w:tab w:val="left" w:pos="708"/>
                <w:tab w:val="left" w:pos="1416"/>
                <w:tab w:val="left" w:pos="2124"/>
                <w:tab w:val="left" w:pos="2832"/>
                <w:tab w:val="left" w:pos="8175"/>
              </w:tabs>
              <w:jc w:val="center"/>
              <w:rPr>
                <w:rFonts w:eastAsia="Arial" w:cs="Arial"/>
                <w:color w:val="275317" w:themeColor="accent6" w:themeShade="80"/>
                <w:sz w:val="16"/>
                <w:szCs w:val="16"/>
              </w:rPr>
            </w:pPr>
            <w:bookmarkStart w:id="50" w:name="_Hlk216344040"/>
            <w:r w:rsidRPr="00422D9A">
              <w:rPr>
                <w:rFonts w:eastAsia="Arial" w:cs="Arial"/>
                <w:color w:val="275317" w:themeColor="accent6" w:themeShade="80"/>
                <w:sz w:val="16"/>
                <w:szCs w:val="16"/>
              </w:rPr>
              <w:t>Medida Cautelar de la CIDH - 385 SIONA 355-18</w:t>
            </w:r>
            <w:bookmarkEnd w:id="50"/>
          </w:p>
          <w:p w14:paraId="667D915A" w14:textId="77777777" w:rsidR="00DE3C06" w:rsidRPr="00422D9A" w:rsidRDefault="00DE3C06" w:rsidP="008A49D0">
            <w:pPr>
              <w:tabs>
                <w:tab w:val="left" w:pos="708"/>
                <w:tab w:val="left" w:pos="1416"/>
                <w:tab w:val="left" w:pos="2124"/>
                <w:tab w:val="left" w:pos="2832"/>
                <w:tab w:val="left" w:pos="8175"/>
              </w:tabs>
              <w:jc w:val="center"/>
              <w:rPr>
                <w:rFonts w:eastAsia="Arial" w:cs="Arial"/>
                <w:color w:val="275317" w:themeColor="accent6" w:themeShade="80"/>
                <w:sz w:val="16"/>
                <w:szCs w:val="16"/>
              </w:rPr>
            </w:pPr>
          </w:p>
          <w:p w14:paraId="7A3E27B9" w14:textId="77777777" w:rsidR="00DE3C06" w:rsidRPr="00422D9A" w:rsidRDefault="00DE3C06" w:rsidP="008A49D0">
            <w:pPr>
              <w:tabs>
                <w:tab w:val="left" w:pos="708"/>
                <w:tab w:val="left" w:pos="1416"/>
                <w:tab w:val="left" w:pos="2124"/>
                <w:tab w:val="left" w:pos="2832"/>
                <w:tab w:val="left" w:pos="8175"/>
              </w:tabs>
              <w:jc w:val="center"/>
              <w:rPr>
                <w:rFonts w:eastAsia="Arial" w:cs="Arial"/>
                <w:color w:val="275317" w:themeColor="accent6" w:themeShade="80"/>
                <w:sz w:val="16"/>
                <w:szCs w:val="16"/>
              </w:rPr>
            </w:pPr>
          </w:p>
        </w:tc>
        <w:tc>
          <w:tcPr>
            <w:tcW w:w="4611" w:type="dxa"/>
            <w:tcBorders>
              <w:top w:val="single" w:sz="4" w:space="0" w:color="auto"/>
              <w:left w:val="single" w:sz="4" w:space="0" w:color="auto"/>
              <w:bottom w:val="single" w:sz="4" w:space="0" w:color="auto"/>
              <w:right w:val="single" w:sz="4" w:space="0" w:color="auto"/>
            </w:tcBorders>
            <w:hideMark/>
          </w:tcPr>
          <w:p w14:paraId="3D86D1FA" w14:textId="77777777" w:rsidR="00DE3C06" w:rsidRPr="00422D9A" w:rsidRDefault="00DE3C06" w:rsidP="008A49D0">
            <w:pPr>
              <w:tabs>
                <w:tab w:val="left" w:pos="708"/>
                <w:tab w:val="left" w:pos="1416"/>
                <w:tab w:val="left" w:pos="2124"/>
                <w:tab w:val="left" w:pos="2832"/>
                <w:tab w:val="left" w:pos="8175"/>
              </w:tabs>
              <w:jc w:val="both"/>
              <w:rPr>
                <w:rFonts w:eastAsia="Arial" w:cs="Arial"/>
                <w:color w:val="275317" w:themeColor="accent6" w:themeShade="80"/>
                <w:sz w:val="16"/>
                <w:szCs w:val="16"/>
              </w:rPr>
            </w:pPr>
            <w:r w:rsidRPr="00422D9A">
              <w:rPr>
                <w:rFonts w:eastAsia="Arial" w:cs="Arial"/>
                <w:color w:val="275317" w:themeColor="accent6" w:themeShade="80"/>
                <w:sz w:val="16"/>
                <w:szCs w:val="16"/>
              </w:rPr>
              <w:t xml:space="preserve">A favor de las Autoridades Siona y las familias de los Resguardos </w:t>
            </w:r>
            <w:proofErr w:type="spellStart"/>
            <w:r w:rsidRPr="00422D9A">
              <w:rPr>
                <w:rFonts w:eastAsia="Arial" w:cs="Arial"/>
                <w:color w:val="275317" w:themeColor="accent6" w:themeShade="80"/>
                <w:sz w:val="16"/>
                <w:szCs w:val="16"/>
              </w:rPr>
              <w:t>Gonzaya</w:t>
            </w:r>
            <w:proofErr w:type="spellEnd"/>
            <w:r w:rsidRPr="00422D9A">
              <w:rPr>
                <w:rFonts w:eastAsia="Arial" w:cs="Arial"/>
                <w:color w:val="275317" w:themeColor="accent6" w:themeShade="80"/>
                <w:sz w:val="16"/>
                <w:szCs w:val="16"/>
              </w:rPr>
              <w:t xml:space="preserve"> (Buenavista) y Po </w:t>
            </w:r>
            <w:proofErr w:type="spellStart"/>
            <w:r w:rsidRPr="00422D9A">
              <w:rPr>
                <w:rFonts w:eastAsia="Arial" w:cs="Arial"/>
                <w:color w:val="275317" w:themeColor="accent6" w:themeShade="80"/>
                <w:sz w:val="16"/>
                <w:szCs w:val="16"/>
              </w:rPr>
              <w:t>Piyuya</w:t>
            </w:r>
            <w:proofErr w:type="spellEnd"/>
            <w:r w:rsidRPr="00422D9A">
              <w:rPr>
                <w:rFonts w:eastAsia="Arial" w:cs="Arial"/>
                <w:color w:val="275317" w:themeColor="accent6" w:themeShade="80"/>
                <w:sz w:val="16"/>
                <w:szCs w:val="16"/>
              </w:rPr>
              <w:t xml:space="preserve"> (Santa Cruz de </w:t>
            </w:r>
            <w:proofErr w:type="spellStart"/>
            <w:r w:rsidRPr="00422D9A">
              <w:rPr>
                <w:rFonts w:eastAsia="Arial" w:cs="Arial"/>
                <w:color w:val="275317" w:themeColor="accent6" w:themeShade="80"/>
                <w:sz w:val="16"/>
                <w:szCs w:val="16"/>
              </w:rPr>
              <w:t>Piñuña</w:t>
            </w:r>
            <w:proofErr w:type="spellEnd"/>
            <w:r w:rsidRPr="00422D9A">
              <w:rPr>
                <w:rFonts w:eastAsia="Arial" w:cs="Arial"/>
                <w:color w:val="275317" w:themeColor="accent6" w:themeShade="80"/>
                <w:sz w:val="16"/>
                <w:szCs w:val="16"/>
              </w:rPr>
              <w:t xml:space="preserve"> Blanco) del Pueblo Indígena Siona (</w:t>
            </w:r>
            <w:proofErr w:type="spellStart"/>
            <w:r w:rsidRPr="00422D9A">
              <w:rPr>
                <w:rFonts w:eastAsia="Arial" w:cs="Arial"/>
                <w:color w:val="275317" w:themeColor="accent6" w:themeShade="80"/>
                <w:sz w:val="16"/>
                <w:szCs w:val="16"/>
              </w:rPr>
              <w:t>ZioBain</w:t>
            </w:r>
            <w:proofErr w:type="spellEnd"/>
            <w:r w:rsidRPr="00422D9A">
              <w:rPr>
                <w:rFonts w:eastAsia="Arial" w:cs="Arial"/>
                <w:color w:val="275317" w:themeColor="accent6" w:themeShade="80"/>
                <w:sz w:val="16"/>
                <w:szCs w:val="16"/>
              </w:rPr>
              <w:t>) en Putumayo.</w:t>
            </w:r>
          </w:p>
        </w:tc>
      </w:tr>
    </w:tbl>
    <w:p w14:paraId="3B0F8715" w14:textId="77777777" w:rsidR="00DE3C06" w:rsidRPr="000C5171" w:rsidRDefault="00DE3C06" w:rsidP="00DE3C06">
      <w:pPr>
        <w:spacing w:line="276" w:lineRule="auto"/>
        <w:jc w:val="both"/>
        <w:rPr>
          <w:rFonts w:eastAsia="Arial" w:cs="Arial"/>
          <w:sz w:val="22"/>
          <w:szCs w:val="22"/>
        </w:rPr>
      </w:pPr>
    </w:p>
    <w:p w14:paraId="5DBE11A9" w14:textId="77777777" w:rsidR="00DE3C06" w:rsidRPr="000C5171" w:rsidRDefault="00DE3C06" w:rsidP="00DE3C06">
      <w:pPr>
        <w:spacing w:line="276" w:lineRule="auto"/>
        <w:jc w:val="both"/>
        <w:rPr>
          <w:rFonts w:cs="Tahoma"/>
          <w:sz w:val="22"/>
          <w:szCs w:val="22"/>
        </w:rPr>
      </w:pPr>
      <w:r w:rsidRPr="000C5171">
        <w:rPr>
          <w:rFonts w:eastAsia="Arial" w:cs="Arial"/>
          <w:sz w:val="22"/>
          <w:szCs w:val="22"/>
        </w:rPr>
        <w:t xml:space="preserve">La Comisión Interamericana de Derechos Humanos en adelante (CIDH) otorgó medidas cautelares mediante la Resolución 53/2018 del 14 de julio de 2018. La CIDH constató que las personas beneficiarias se encuentran en una “situación de gravedad y urgencia” sobre la base de: las amenazas y hostigamientos en su contra; la limitación de su desplazamiento en el territorio por parte de actores armados; el reclutamiento de jóvenes del pueblo; y la existencia de minas antipersona en el territorio. Estos factores, además de poner en riesgo la vida e </w:t>
      </w:r>
      <w:r w:rsidRPr="000C5171">
        <w:rPr>
          <w:rFonts w:eastAsia="Arial" w:cs="Arial"/>
          <w:sz w:val="22"/>
          <w:szCs w:val="22"/>
        </w:rPr>
        <w:lastRenderedPageBreak/>
        <w:t xml:space="preserve">integridad de los miembros del pueblo Siona, también afectarían las formas de autogobierno de la organización indígena y la vida comunitaria.  La articulación para el cumplimiento de lo ordenado lo hace la Cancillería colombiana y concretamente ART participa en el marco de los PDET con la instalación de chagras de yagé y medicinal </w:t>
      </w:r>
    </w:p>
    <w:p w14:paraId="5FB862D9" w14:textId="77777777" w:rsidR="00DE3C06" w:rsidRPr="000C5171" w:rsidRDefault="00DE3C06" w:rsidP="00DE3C06">
      <w:pPr>
        <w:spacing w:line="276" w:lineRule="auto"/>
        <w:ind w:left="709"/>
        <w:rPr>
          <w:rFonts w:cs="Tahoma"/>
          <w:sz w:val="22"/>
          <w:szCs w:val="22"/>
        </w:rPr>
      </w:pPr>
    </w:p>
    <w:p w14:paraId="3FB51299" w14:textId="77777777" w:rsidR="00DE3C06" w:rsidRPr="000C5171" w:rsidRDefault="00DE3C06" w:rsidP="00DE3C06">
      <w:pPr>
        <w:pStyle w:val="Ttulo1"/>
        <w:spacing w:line="276" w:lineRule="auto"/>
        <w:rPr>
          <w:rFonts w:cs="Tahoma"/>
          <w:color w:val="0070C0"/>
        </w:rPr>
      </w:pPr>
      <w:bookmarkStart w:id="51" w:name="_Toc234168111"/>
      <w:r w:rsidRPr="000C5171">
        <w:rPr>
          <w:rFonts w:cs="Tahoma"/>
          <w:color w:val="0070C0"/>
        </w:rPr>
        <w:t>10.2 Procesos disciplinarios</w:t>
      </w:r>
      <w:bookmarkEnd w:id="51"/>
      <w:r w:rsidRPr="000C5171">
        <w:rPr>
          <w:rFonts w:cs="Tahoma"/>
          <w:color w:val="0070C0"/>
        </w:rPr>
        <w:tab/>
      </w:r>
      <w:r w:rsidRPr="000C5171">
        <w:rPr>
          <w:rFonts w:cs="Tahoma"/>
          <w:color w:val="0070C0"/>
        </w:rPr>
        <w:tab/>
      </w:r>
      <w:r w:rsidRPr="000C5171">
        <w:rPr>
          <w:rFonts w:cs="Tahoma"/>
          <w:color w:val="0070C0"/>
        </w:rPr>
        <w:tab/>
      </w:r>
      <w:r w:rsidRPr="000C5171">
        <w:rPr>
          <w:rFonts w:cs="Tahoma"/>
          <w:color w:val="0070C0"/>
        </w:rPr>
        <w:tab/>
      </w:r>
      <w:r w:rsidRPr="000C5171">
        <w:rPr>
          <w:rFonts w:cs="Tahoma"/>
          <w:color w:val="0070C0"/>
        </w:rPr>
        <w:tab/>
      </w:r>
    </w:p>
    <w:p w14:paraId="20974369" w14:textId="77777777" w:rsidR="00DE3C06" w:rsidRPr="000C5171" w:rsidRDefault="00DE3C06" w:rsidP="00DE3C06">
      <w:pPr>
        <w:spacing w:after="0" w:line="276" w:lineRule="auto"/>
        <w:jc w:val="both"/>
        <w:rPr>
          <w:rFonts w:cs="Tahoma"/>
          <w:sz w:val="22"/>
          <w:szCs w:val="22"/>
        </w:rPr>
      </w:pPr>
    </w:p>
    <w:p w14:paraId="6601E617" w14:textId="77777777" w:rsidR="00DE3C06" w:rsidRPr="000C5171" w:rsidRDefault="00DE3C06" w:rsidP="00DE3C06">
      <w:pPr>
        <w:spacing w:after="0" w:line="276" w:lineRule="auto"/>
        <w:jc w:val="both"/>
        <w:rPr>
          <w:rFonts w:cs="Tahoma"/>
          <w:sz w:val="22"/>
          <w:szCs w:val="22"/>
        </w:rPr>
      </w:pPr>
      <w:r w:rsidRPr="000C5171">
        <w:rPr>
          <w:rFonts w:cs="Tahoma"/>
          <w:sz w:val="22"/>
          <w:szCs w:val="22"/>
        </w:rPr>
        <w:t>La Oficina Jurídica de la ART tiene bajo su responsabilidad la etapa de instrucción de los procesos disciplinarios, de conformidad con lo dispuesto en la Resolución 000119 de 2022. En ejercicio de esta competencia, durante las vigencias 2023, 2024, 2025 y lo corrido de 2026, ha adelantado de manera continua y sistemática las actuaciones propias del proceso disciplinario previstas en la Ley 1952 de 2019 (Código General Disciplinario) tales como la apertura y trámite de indagaciones preliminares, investigaciones disciplinarias, práctica y valoración probatoria, así como la adopción de decisiones de fondo, incluyendo autos de archivo por atipicidad o ausencia de mérito probatorio, y la formulación de cargos cuando ha habido lugar a ello.</w:t>
      </w:r>
    </w:p>
    <w:p w14:paraId="71E4DD1D" w14:textId="77777777" w:rsidR="00DE3C06" w:rsidRPr="000C5171" w:rsidRDefault="00DE3C06" w:rsidP="00DE3C06">
      <w:pPr>
        <w:spacing w:after="0" w:line="276" w:lineRule="auto"/>
        <w:jc w:val="both"/>
        <w:rPr>
          <w:rFonts w:cs="Tahoma"/>
          <w:sz w:val="22"/>
          <w:szCs w:val="22"/>
        </w:rPr>
      </w:pPr>
    </w:p>
    <w:p w14:paraId="74039CCA" w14:textId="77777777" w:rsidR="00DE3C06" w:rsidRPr="000C5171" w:rsidRDefault="00DE3C06" w:rsidP="00DE3C06">
      <w:pPr>
        <w:spacing w:after="0" w:line="276" w:lineRule="auto"/>
        <w:jc w:val="both"/>
        <w:rPr>
          <w:rFonts w:cs="Tahoma"/>
          <w:sz w:val="22"/>
          <w:szCs w:val="22"/>
        </w:rPr>
      </w:pPr>
      <w:r w:rsidRPr="000C5171">
        <w:rPr>
          <w:rFonts w:cs="Tahoma"/>
          <w:sz w:val="22"/>
          <w:szCs w:val="22"/>
        </w:rPr>
        <w:t>De igual manera, se ha garantizado el respeto de los principios de legalidad, debido proceso, imparcialidad y búsqueda de la verdad material, mediante el impulso oficioso de las actuaciones y el control riguroso de los términos procesales. En este periodo, la Oficina Jurídica ha implementado acciones de mejora orientadas a la depuración del inventario de procesos, la estandarización de actuaciones, el fortalecimiento de los mecanismos de notificación y la articulación con otras dependencias, contribuyendo a una gestión disciplinaria más eficiente, oportuna y alineada con los fines preventivos y correctivos del régimen disciplinario.</w:t>
      </w:r>
    </w:p>
    <w:p w14:paraId="49A2E9F1" w14:textId="77777777" w:rsidR="00DE3C06" w:rsidRPr="000C5171" w:rsidRDefault="00DE3C06" w:rsidP="00DE3C06">
      <w:pPr>
        <w:spacing w:after="0" w:line="276" w:lineRule="auto"/>
        <w:jc w:val="both"/>
        <w:rPr>
          <w:rFonts w:cs="Tahoma"/>
          <w:sz w:val="22"/>
          <w:szCs w:val="22"/>
        </w:rPr>
      </w:pPr>
    </w:p>
    <w:p w14:paraId="09F5A66F" w14:textId="77777777" w:rsidR="00DE3C06" w:rsidRPr="000C5171" w:rsidRDefault="00DE3C06" w:rsidP="00DE3C06">
      <w:pPr>
        <w:spacing w:after="0" w:line="276" w:lineRule="auto"/>
        <w:jc w:val="both"/>
        <w:rPr>
          <w:rFonts w:cs="Tahoma"/>
          <w:sz w:val="22"/>
          <w:szCs w:val="22"/>
        </w:rPr>
      </w:pPr>
      <w:r w:rsidRPr="000C5171">
        <w:rPr>
          <w:rFonts w:cs="Tahoma"/>
          <w:sz w:val="22"/>
          <w:szCs w:val="22"/>
        </w:rPr>
        <w:t>Por otro lado, se han adelantado acciones de carácter preventivo al interior de la ART, mediante la elaboración e implementación de una guía de faltas disciplinables, concebida como una herramienta pedagógica, clara y de fácil comprensión, orientada a los servidores públicos para el adecuado cumplimiento de sus deberes funcionales y la prevención de la eventual comisión de conductas disciplinarias.</w:t>
      </w:r>
    </w:p>
    <w:p w14:paraId="2FFEA8AC" w14:textId="77777777" w:rsidR="00DE3C06" w:rsidRPr="000C5171" w:rsidRDefault="00DE3C06" w:rsidP="00DE3C06">
      <w:pPr>
        <w:spacing w:after="0" w:line="276" w:lineRule="auto"/>
        <w:jc w:val="both"/>
        <w:rPr>
          <w:rFonts w:cs="Tahoma"/>
          <w:sz w:val="22"/>
          <w:szCs w:val="22"/>
        </w:rPr>
      </w:pPr>
    </w:p>
    <w:p w14:paraId="579998BD" w14:textId="77777777" w:rsidR="00DE3C06" w:rsidRPr="000C5171" w:rsidRDefault="00DE3C06" w:rsidP="00DE3C06">
      <w:pPr>
        <w:spacing w:after="0" w:line="276" w:lineRule="auto"/>
        <w:jc w:val="both"/>
        <w:rPr>
          <w:rFonts w:cs="Tahoma"/>
          <w:sz w:val="22"/>
          <w:szCs w:val="22"/>
        </w:rPr>
      </w:pPr>
      <w:r w:rsidRPr="000C5171">
        <w:rPr>
          <w:rFonts w:cs="Tahoma"/>
          <w:sz w:val="22"/>
          <w:szCs w:val="22"/>
        </w:rPr>
        <w:t>A continuación, se presenta de manera consolidada y agregada la gestión adelantada por la Oficina jurídica, proceso de instrucción disciplinaria, durante las vigencias 2023, 2024, 2025 y lo corrido de 2026, con el propósito de evidenciar el comportamiento de los procesos disciplinarios, los avances en su trámite, la adopción de decisiones de fondo y las acciones implementadas para el fortalecimiento de la función disciplinaria al interior de la entidad.</w:t>
      </w:r>
    </w:p>
    <w:p w14:paraId="3A8564BA" w14:textId="77777777" w:rsidR="00DE3C06" w:rsidRPr="000C5171" w:rsidRDefault="00DE3C06" w:rsidP="00DE3C06">
      <w:pPr>
        <w:spacing w:after="0" w:line="276" w:lineRule="auto"/>
        <w:jc w:val="both"/>
        <w:rPr>
          <w:rFonts w:cs="Tahoma"/>
          <w:sz w:val="22"/>
          <w:szCs w:val="22"/>
        </w:rPr>
      </w:pPr>
    </w:p>
    <w:p w14:paraId="2A75F3C9" w14:textId="77777777" w:rsidR="00DE3C06" w:rsidRPr="000C5171" w:rsidRDefault="00DE3C06" w:rsidP="00DE3C06">
      <w:pPr>
        <w:spacing w:line="276" w:lineRule="auto"/>
        <w:jc w:val="center"/>
        <w:rPr>
          <w:rFonts w:cs="Tahoma"/>
          <w:sz w:val="22"/>
          <w:szCs w:val="22"/>
        </w:rPr>
      </w:pPr>
      <w:r w:rsidRPr="000C5171">
        <w:rPr>
          <w:rFonts w:cs="Arial"/>
          <w:b/>
          <w:bCs/>
          <w:sz w:val="22"/>
          <w:szCs w:val="22"/>
        </w:rPr>
        <w:t>Tabla 18</w:t>
      </w:r>
      <w:r>
        <w:rPr>
          <w:rFonts w:cs="Arial"/>
          <w:b/>
          <w:bCs/>
          <w:sz w:val="22"/>
          <w:szCs w:val="22"/>
        </w:rPr>
        <w:t>A</w:t>
      </w:r>
      <w:r w:rsidRPr="000C5171">
        <w:rPr>
          <w:rFonts w:cs="Arial"/>
          <w:b/>
          <w:bCs/>
          <w:sz w:val="22"/>
          <w:szCs w:val="22"/>
        </w:rPr>
        <w:t>. Expedientes Disciplinarios</w:t>
      </w:r>
    </w:p>
    <w:tbl>
      <w:tblPr>
        <w:tblW w:w="7146" w:type="dxa"/>
        <w:tblInd w:w="875" w:type="dxa"/>
        <w:tblCellMar>
          <w:left w:w="70" w:type="dxa"/>
          <w:right w:w="70" w:type="dxa"/>
        </w:tblCellMar>
        <w:tblLook w:val="04A0" w:firstRow="1" w:lastRow="0" w:firstColumn="1" w:lastColumn="0" w:noHBand="0" w:noVBand="1"/>
      </w:tblPr>
      <w:tblGrid>
        <w:gridCol w:w="3768"/>
        <w:gridCol w:w="3378"/>
      </w:tblGrid>
      <w:tr w:rsidR="00DE3C06" w:rsidRPr="00422D9A" w14:paraId="768D614D" w14:textId="77777777" w:rsidTr="008A49D0">
        <w:trPr>
          <w:trHeight w:val="258"/>
        </w:trPr>
        <w:tc>
          <w:tcPr>
            <w:tcW w:w="3768" w:type="dxa"/>
            <w:tcBorders>
              <w:top w:val="single" w:sz="8" w:space="0" w:color="auto"/>
              <w:left w:val="single" w:sz="8" w:space="0" w:color="auto"/>
              <w:bottom w:val="nil"/>
              <w:right w:val="nil"/>
            </w:tcBorders>
            <w:shd w:val="clear" w:color="000000" w:fill="C1F0C7"/>
            <w:vAlign w:val="center"/>
            <w:hideMark/>
          </w:tcPr>
          <w:p w14:paraId="0A16330D" w14:textId="77777777" w:rsidR="00DE3C06" w:rsidRPr="00422D9A" w:rsidRDefault="00DE3C06" w:rsidP="008A49D0">
            <w:pPr>
              <w:spacing w:after="0" w:line="240" w:lineRule="auto"/>
              <w:jc w:val="center"/>
              <w:rPr>
                <w:rFonts w:eastAsia="Times New Roman" w:cs="Calibri"/>
                <w:b/>
                <w:bCs/>
                <w:color w:val="275317" w:themeColor="accent6" w:themeShade="80"/>
                <w:sz w:val="20"/>
                <w:szCs w:val="20"/>
                <w:lang w:eastAsia="es-CO"/>
              </w:rPr>
            </w:pPr>
            <w:r w:rsidRPr="00422D9A">
              <w:rPr>
                <w:rFonts w:eastAsia="Times New Roman" w:cs="Calibri"/>
                <w:b/>
                <w:bCs/>
                <w:color w:val="275317" w:themeColor="accent6" w:themeShade="80"/>
                <w:sz w:val="20"/>
                <w:szCs w:val="20"/>
                <w:lang w:eastAsia="es-CO"/>
              </w:rPr>
              <w:t>Vigencia</w:t>
            </w:r>
          </w:p>
        </w:tc>
        <w:tc>
          <w:tcPr>
            <w:tcW w:w="3378" w:type="dxa"/>
            <w:tcBorders>
              <w:top w:val="single" w:sz="8" w:space="0" w:color="auto"/>
              <w:left w:val="nil"/>
              <w:bottom w:val="nil"/>
              <w:right w:val="single" w:sz="8" w:space="0" w:color="auto"/>
            </w:tcBorders>
            <w:shd w:val="clear" w:color="000000" w:fill="C1F0C7"/>
            <w:vAlign w:val="center"/>
            <w:hideMark/>
          </w:tcPr>
          <w:p w14:paraId="10B122B6" w14:textId="77777777" w:rsidR="00DE3C06" w:rsidRPr="00422D9A" w:rsidRDefault="00DE3C06" w:rsidP="008A49D0">
            <w:pPr>
              <w:spacing w:after="0" w:line="240" w:lineRule="auto"/>
              <w:jc w:val="center"/>
              <w:rPr>
                <w:rFonts w:eastAsia="Times New Roman" w:cs="Calibri"/>
                <w:b/>
                <w:bCs/>
                <w:color w:val="275317" w:themeColor="accent6" w:themeShade="80"/>
                <w:sz w:val="20"/>
                <w:szCs w:val="20"/>
                <w:lang w:eastAsia="es-CO"/>
              </w:rPr>
            </w:pPr>
            <w:r w:rsidRPr="00422D9A">
              <w:rPr>
                <w:rFonts w:eastAsia="Times New Roman" w:cs="Calibri"/>
                <w:b/>
                <w:bCs/>
                <w:color w:val="275317" w:themeColor="accent6" w:themeShade="80"/>
                <w:sz w:val="20"/>
                <w:szCs w:val="20"/>
                <w:lang w:eastAsia="es-CO"/>
              </w:rPr>
              <w:t>Número de expedientes</w:t>
            </w:r>
          </w:p>
        </w:tc>
      </w:tr>
      <w:tr w:rsidR="00DE3C06" w:rsidRPr="00422D9A" w14:paraId="7216D28B" w14:textId="77777777" w:rsidTr="008A49D0">
        <w:trPr>
          <w:trHeight w:val="255"/>
        </w:trPr>
        <w:tc>
          <w:tcPr>
            <w:tcW w:w="3768" w:type="dxa"/>
            <w:tcBorders>
              <w:top w:val="nil"/>
              <w:left w:val="single" w:sz="8" w:space="0" w:color="auto"/>
              <w:bottom w:val="nil"/>
              <w:right w:val="nil"/>
            </w:tcBorders>
            <w:vAlign w:val="center"/>
            <w:hideMark/>
          </w:tcPr>
          <w:p w14:paraId="28DAC83A" w14:textId="77777777" w:rsidR="00DE3C06" w:rsidRPr="00422D9A" w:rsidRDefault="00DE3C06" w:rsidP="008A49D0">
            <w:pPr>
              <w:spacing w:after="0" w:line="240" w:lineRule="auto"/>
              <w:jc w:val="center"/>
              <w:rPr>
                <w:rFonts w:eastAsia="Times New Roman" w:cs="Calibri"/>
                <w:color w:val="275317" w:themeColor="accent6" w:themeShade="80"/>
                <w:sz w:val="20"/>
                <w:szCs w:val="20"/>
                <w:lang w:eastAsia="es-CO"/>
              </w:rPr>
            </w:pPr>
            <w:r w:rsidRPr="00422D9A">
              <w:rPr>
                <w:rFonts w:eastAsia="Times New Roman" w:cs="Calibri"/>
                <w:color w:val="275317" w:themeColor="accent6" w:themeShade="80"/>
                <w:sz w:val="20"/>
                <w:szCs w:val="20"/>
                <w:lang w:eastAsia="es-CO"/>
              </w:rPr>
              <w:t>2023</w:t>
            </w:r>
          </w:p>
        </w:tc>
        <w:tc>
          <w:tcPr>
            <w:tcW w:w="3378" w:type="dxa"/>
            <w:tcBorders>
              <w:top w:val="nil"/>
              <w:left w:val="nil"/>
              <w:bottom w:val="nil"/>
              <w:right w:val="single" w:sz="8" w:space="0" w:color="auto"/>
            </w:tcBorders>
            <w:vAlign w:val="center"/>
            <w:hideMark/>
          </w:tcPr>
          <w:p w14:paraId="6C401948" w14:textId="77777777" w:rsidR="00DE3C06" w:rsidRPr="00422D9A" w:rsidRDefault="00DE3C06" w:rsidP="008A49D0">
            <w:pPr>
              <w:spacing w:after="0" w:line="240" w:lineRule="auto"/>
              <w:jc w:val="center"/>
              <w:rPr>
                <w:rFonts w:eastAsia="Times New Roman" w:cs="Calibri"/>
                <w:color w:val="275317" w:themeColor="accent6" w:themeShade="80"/>
                <w:sz w:val="20"/>
                <w:szCs w:val="20"/>
                <w:lang w:eastAsia="es-CO"/>
              </w:rPr>
            </w:pPr>
            <w:r w:rsidRPr="00422D9A">
              <w:rPr>
                <w:rFonts w:eastAsia="Times New Roman" w:cs="Calibri"/>
                <w:color w:val="275317" w:themeColor="accent6" w:themeShade="80"/>
                <w:sz w:val="20"/>
                <w:szCs w:val="20"/>
                <w:lang w:eastAsia="es-CO"/>
              </w:rPr>
              <w:t>16</w:t>
            </w:r>
          </w:p>
        </w:tc>
      </w:tr>
      <w:tr w:rsidR="00DE3C06" w:rsidRPr="00422D9A" w14:paraId="23FCC5AC" w14:textId="77777777" w:rsidTr="008A49D0">
        <w:trPr>
          <w:trHeight w:val="255"/>
        </w:trPr>
        <w:tc>
          <w:tcPr>
            <w:tcW w:w="3768" w:type="dxa"/>
            <w:tcBorders>
              <w:top w:val="nil"/>
              <w:left w:val="single" w:sz="8" w:space="0" w:color="auto"/>
              <w:bottom w:val="nil"/>
              <w:right w:val="nil"/>
            </w:tcBorders>
            <w:noWrap/>
            <w:vAlign w:val="center"/>
            <w:hideMark/>
          </w:tcPr>
          <w:p w14:paraId="70981435" w14:textId="77777777" w:rsidR="00DE3C06" w:rsidRPr="00422D9A" w:rsidRDefault="00DE3C06" w:rsidP="008A49D0">
            <w:pPr>
              <w:spacing w:after="0" w:line="240" w:lineRule="auto"/>
              <w:jc w:val="center"/>
              <w:rPr>
                <w:rFonts w:eastAsia="Times New Roman" w:cs="Calibri"/>
                <w:color w:val="275317" w:themeColor="accent6" w:themeShade="80"/>
                <w:sz w:val="20"/>
                <w:szCs w:val="20"/>
                <w:lang w:eastAsia="es-CO"/>
              </w:rPr>
            </w:pPr>
            <w:r w:rsidRPr="00422D9A">
              <w:rPr>
                <w:rFonts w:eastAsia="Times New Roman" w:cs="Calibri"/>
                <w:color w:val="275317" w:themeColor="accent6" w:themeShade="80"/>
                <w:sz w:val="20"/>
                <w:szCs w:val="20"/>
                <w:lang w:eastAsia="es-CO"/>
              </w:rPr>
              <w:t>2024</w:t>
            </w:r>
          </w:p>
        </w:tc>
        <w:tc>
          <w:tcPr>
            <w:tcW w:w="3378" w:type="dxa"/>
            <w:tcBorders>
              <w:top w:val="nil"/>
              <w:left w:val="nil"/>
              <w:bottom w:val="nil"/>
              <w:right w:val="single" w:sz="8" w:space="0" w:color="auto"/>
            </w:tcBorders>
            <w:noWrap/>
            <w:vAlign w:val="center"/>
            <w:hideMark/>
          </w:tcPr>
          <w:p w14:paraId="154C1CE2" w14:textId="77777777" w:rsidR="00DE3C06" w:rsidRPr="00422D9A" w:rsidRDefault="00DE3C06" w:rsidP="008A49D0">
            <w:pPr>
              <w:spacing w:after="0" w:line="240" w:lineRule="auto"/>
              <w:jc w:val="center"/>
              <w:rPr>
                <w:rFonts w:eastAsia="Times New Roman" w:cs="Calibri"/>
                <w:color w:val="275317" w:themeColor="accent6" w:themeShade="80"/>
                <w:sz w:val="20"/>
                <w:szCs w:val="20"/>
                <w:lang w:eastAsia="es-CO"/>
              </w:rPr>
            </w:pPr>
            <w:r w:rsidRPr="00422D9A">
              <w:rPr>
                <w:rFonts w:eastAsia="Times New Roman" w:cs="Calibri"/>
                <w:color w:val="275317" w:themeColor="accent6" w:themeShade="80"/>
                <w:sz w:val="20"/>
                <w:szCs w:val="20"/>
                <w:lang w:eastAsia="es-CO"/>
              </w:rPr>
              <w:t>33</w:t>
            </w:r>
          </w:p>
        </w:tc>
      </w:tr>
      <w:tr w:rsidR="00DE3C06" w:rsidRPr="00422D9A" w14:paraId="13666565" w14:textId="77777777" w:rsidTr="008A49D0">
        <w:trPr>
          <w:trHeight w:val="255"/>
        </w:trPr>
        <w:tc>
          <w:tcPr>
            <w:tcW w:w="3768" w:type="dxa"/>
            <w:tcBorders>
              <w:top w:val="nil"/>
              <w:left w:val="single" w:sz="8" w:space="0" w:color="auto"/>
              <w:bottom w:val="nil"/>
              <w:right w:val="nil"/>
            </w:tcBorders>
            <w:noWrap/>
            <w:vAlign w:val="center"/>
            <w:hideMark/>
          </w:tcPr>
          <w:p w14:paraId="33381A79" w14:textId="77777777" w:rsidR="00DE3C06" w:rsidRPr="00422D9A" w:rsidRDefault="00DE3C06" w:rsidP="008A49D0">
            <w:pPr>
              <w:spacing w:after="0" w:line="240" w:lineRule="auto"/>
              <w:jc w:val="center"/>
              <w:rPr>
                <w:rFonts w:eastAsia="Times New Roman" w:cs="Calibri"/>
                <w:color w:val="275317" w:themeColor="accent6" w:themeShade="80"/>
                <w:sz w:val="20"/>
                <w:szCs w:val="20"/>
                <w:lang w:eastAsia="es-CO"/>
              </w:rPr>
            </w:pPr>
            <w:r w:rsidRPr="00422D9A">
              <w:rPr>
                <w:rFonts w:eastAsia="Times New Roman" w:cs="Calibri"/>
                <w:color w:val="275317" w:themeColor="accent6" w:themeShade="80"/>
                <w:sz w:val="20"/>
                <w:szCs w:val="20"/>
                <w:lang w:eastAsia="es-CO"/>
              </w:rPr>
              <w:t>2025</w:t>
            </w:r>
          </w:p>
        </w:tc>
        <w:tc>
          <w:tcPr>
            <w:tcW w:w="3378" w:type="dxa"/>
            <w:tcBorders>
              <w:top w:val="nil"/>
              <w:left w:val="nil"/>
              <w:bottom w:val="nil"/>
              <w:right w:val="single" w:sz="8" w:space="0" w:color="auto"/>
            </w:tcBorders>
            <w:noWrap/>
            <w:vAlign w:val="center"/>
            <w:hideMark/>
          </w:tcPr>
          <w:p w14:paraId="0A5C5646" w14:textId="77777777" w:rsidR="00DE3C06" w:rsidRPr="00422D9A" w:rsidRDefault="00DE3C06" w:rsidP="008A49D0">
            <w:pPr>
              <w:spacing w:after="0" w:line="240" w:lineRule="auto"/>
              <w:jc w:val="center"/>
              <w:rPr>
                <w:rFonts w:eastAsia="Times New Roman" w:cs="Calibri"/>
                <w:color w:val="275317" w:themeColor="accent6" w:themeShade="80"/>
                <w:sz w:val="20"/>
                <w:szCs w:val="20"/>
                <w:lang w:eastAsia="es-CO"/>
              </w:rPr>
            </w:pPr>
            <w:r w:rsidRPr="00422D9A">
              <w:rPr>
                <w:rFonts w:eastAsia="Times New Roman" w:cs="Calibri"/>
                <w:color w:val="275317" w:themeColor="accent6" w:themeShade="80"/>
                <w:sz w:val="20"/>
                <w:szCs w:val="20"/>
                <w:lang w:eastAsia="es-CO"/>
              </w:rPr>
              <w:t>50</w:t>
            </w:r>
          </w:p>
        </w:tc>
      </w:tr>
      <w:tr w:rsidR="00DE3C06" w:rsidRPr="00422D9A" w14:paraId="642EDC61" w14:textId="77777777" w:rsidTr="008A49D0">
        <w:trPr>
          <w:trHeight w:val="255"/>
        </w:trPr>
        <w:tc>
          <w:tcPr>
            <w:tcW w:w="3768" w:type="dxa"/>
            <w:tcBorders>
              <w:top w:val="nil"/>
              <w:left w:val="single" w:sz="8" w:space="0" w:color="auto"/>
              <w:bottom w:val="nil"/>
              <w:right w:val="nil"/>
            </w:tcBorders>
            <w:noWrap/>
            <w:vAlign w:val="center"/>
            <w:hideMark/>
          </w:tcPr>
          <w:p w14:paraId="5A4C7C60" w14:textId="77777777" w:rsidR="00DE3C06" w:rsidRPr="00422D9A" w:rsidRDefault="00DE3C06" w:rsidP="008A49D0">
            <w:pPr>
              <w:spacing w:after="0" w:line="240" w:lineRule="auto"/>
              <w:jc w:val="center"/>
              <w:rPr>
                <w:rFonts w:eastAsia="Times New Roman" w:cs="Calibri"/>
                <w:color w:val="275317" w:themeColor="accent6" w:themeShade="80"/>
                <w:sz w:val="20"/>
                <w:szCs w:val="20"/>
                <w:lang w:eastAsia="es-CO"/>
              </w:rPr>
            </w:pPr>
            <w:r w:rsidRPr="00422D9A">
              <w:rPr>
                <w:rFonts w:eastAsia="Times New Roman" w:cs="Calibri"/>
                <w:color w:val="275317" w:themeColor="accent6" w:themeShade="80"/>
                <w:sz w:val="20"/>
                <w:szCs w:val="20"/>
                <w:lang w:eastAsia="es-CO"/>
              </w:rPr>
              <w:t>2026</w:t>
            </w:r>
          </w:p>
        </w:tc>
        <w:tc>
          <w:tcPr>
            <w:tcW w:w="3378" w:type="dxa"/>
            <w:tcBorders>
              <w:top w:val="nil"/>
              <w:left w:val="nil"/>
              <w:bottom w:val="nil"/>
              <w:right w:val="single" w:sz="8" w:space="0" w:color="auto"/>
            </w:tcBorders>
            <w:noWrap/>
            <w:vAlign w:val="center"/>
            <w:hideMark/>
          </w:tcPr>
          <w:p w14:paraId="434C60EA" w14:textId="77777777" w:rsidR="00DE3C06" w:rsidRPr="00422D9A" w:rsidRDefault="00DE3C06" w:rsidP="008A49D0">
            <w:pPr>
              <w:spacing w:after="0" w:line="240" w:lineRule="auto"/>
              <w:jc w:val="center"/>
              <w:rPr>
                <w:rFonts w:eastAsia="Times New Roman" w:cs="Calibri"/>
                <w:color w:val="275317" w:themeColor="accent6" w:themeShade="80"/>
                <w:sz w:val="20"/>
                <w:szCs w:val="20"/>
                <w:lang w:eastAsia="es-CO"/>
              </w:rPr>
            </w:pPr>
            <w:r w:rsidRPr="00422D9A">
              <w:rPr>
                <w:rFonts w:eastAsia="Times New Roman" w:cs="Calibri"/>
                <w:color w:val="275317" w:themeColor="accent6" w:themeShade="80"/>
                <w:sz w:val="20"/>
                <w:szCs w:val="20"/>
                <w:lang w:eastAsia="es-CO"/>
              </w:rPr>
              <w:t>39</w:t>
            </w:r>
          </w:p>
        </w:tc>
      </w:tr>
      <w:tr w:rsidR="00DE3C06" w:rsidRPr="00422D9A" w14:paraId="3A2D095D" w14:textId="77777777" w:rsidTr="008A49D0">
        <w:trPr>
          <w:trHeight w:val="265"/>
        </w:trPr>
        <w:tc>
          <w:tcPr>
            <w:tcW w:w="3768" w:type="dxa"/>
            <w:tcBorders>
              <w:top w:val="nil"/>
              <w:left w:val="single" w:sz="8" w:space="0" w:color="auto"/>
              <w:bottom w:val="single" w:sz="8" w:space="0" w:color="auto"/>
              <w:right w:val="nil"/>
            </w:tcBorders>
            <w:shd w:val="clear" w:color="000000" w:fill="C1F0C7"/>
            <w:noWrap/>
            <w:vAlign w:val="center"/>
            <w:hideMark/>
          </w:tcPr>
          <w:p w14:paraId="74C95A3D" w14:textId="77777777" w:rsidR="00DE3C06" w:rsidRPr="00422D9A" w:rsidRDefault="00DE3C06" w:rsidP="008A49D0">
            <w:pPr>
              <w:spacing w:after="0" w:line="240" w:lineRule="auto"/>
              <w:jc w:val="center"/>
              <w:rPr>
                <w:rFonts w:eastAsia="Times New Roman" w:cs="Calibri"/>
                <w:b/>
                <w:bCs/>
                <w:color w:val="275317" w:themeColor="accent6" w:themeShade="80"/>
                <w:sz w:val="20"/>
                <w:szCs w:val="20"/>
                <w:lang w:eastAsia="es-CO"/>
              </w:rPr>
            </w:pPr>
            <w:proofErr w:type="gramStart"/>
            <w:r w:rsidRPr="00422D9A">
              <w:rPr>
                <w:rFonts w:eastAsia="Times New Roman" w:cs="Calibri"/>
                <w:b/>
                <w:bCs/>
                <w:color w:val="275317" w:themeColor="accent6" w:themeShade="80"/>
                <w:sz w:val="20"/>
                <w:szCs w:val="20"/>
                <w:lang w:eastAsia="es-CO"/>
              </w:rPr>
              <w:t>TOTAL</w:t>
            </w:r>
            <w:proofErr w:type="gramEnd"/>
            <w:r w:rsidRPr="00422D9A">
              <w:rPr>
                <w:rFonts w:eastAsia="Times New Roman" w:cs="Calibri"/>
                <w:b/>
                <w:bCs/>
                <w:color w:val="275317" w:themeColor="accent6" w:themeShade="80"/>
                <w:sz w:val="20"/>
                <w:szCs w:val="20"/>
                <w:lang w:eastAsia="es-CO"/>
              </w:rPr>
              <w:t xml:space="preserve"> GENERAL</w:t>
            </w:r>
          </w:p>
        </w:tc>
        <w:tc>
          <w:tcPr>
            <w:tcW w:w="3378" w:type="dxa"/>
            <w:tcBorders>
              <w:top w:val="nil"/>
              <w:left w:val="nil"/>
              <w:bottom w:val="single" w:sz="8" w:space="0" w:color="auto"/>
              <w:right w:val="single" w:sz="8" w:space="0" w:color="auto"/>
            </w:tcBorders>
            <w:shd w:val="clear" w:color="000000" w:fill="C1F0C7"/>
            <w:noWrap/>
            <w:vAlign w:val="center"/>
            <w:hideMark/>
          </w:tcPr>
          <w:p w14:paraId="6B97D0AA" w14:textId="77777777" w:rsidR="00DE3C06" w:rsidRPr="00422D9A" w:rsidRDefault="00DE3C06" w:rsidP="008A49D0">
            <w:pPr>
              <w:spacing w:after="0" w:line="240" w:lineRule="auto"/>
              <w:jc w:val="center"/>
              <w:rPr>
                <w:rFonts w:eastAsia="Times New Roman" w:cs="Calibri"/>
                <w:b/>
                <w:bCs/>
                <w:color w:val="275317" w:themeColor="accent6" w:themeShade="80"/>
                <w:sz w:val="20"/>
                <w:szCs w:val="20"/>
                <w:lang w:eastAsia="es-CO"/>
              </w:rPr>
            </w:pPr>
            <w:r w:rsidRPr="00422D9A">
              <w:rPr>
                <w:rFonts w:eastAsia="Times New Roman" w:cs="Calibri"/>
                <w:b/>
                <w:bCs/>
                <w:color w:val="275317" w:themeColor="accent6" w:themeShade="80"/>
                <w:sz w:val="20"/>
                <w:szCs w:val="20"/>
                <w:lang w:eastAsia="es-CO"/>
              </w:rPr>
              <w:t>138</w:t>
            </w:r>
          </w:p>
        </w:tc>
      </w:tr>
    </w:tbl>
    <w:p w14:paraId="6CCCF525" w14:textId="77777777" w:rsidR="00DE3C06" w:rsidRPr="000C5171" w:rsidRDefault="00DE3C06" w:rsidP="00DE3C06">
      <w:pPr>
        <w:spacing w:after="0" w:line="276" w:lineRule="auto"/>
        <w:jc w:val="center"/>
        <w:rPr>
          <w:rFonts w:cs="Tahoma"/>
          <w:sz w:val="18"/>
          <w:szCs w:val="18"/>
        </w:rPr>
      </w:pPr>
      <w:r w:rsidRPr="000C5171">
        <w:rPr>
          <w:rFonts w:cs="Tahoma"/>
          <w:sz w:val="18"/>
          <w:szCs w:val="18"/>
        </w:rPr>
        <w:t>Fuente: ART Elaboración Propia 2025</w:t>
      </w:r>
    </w:p>
    <w:p w14:paraId="0DE58DC5" w14:textId="77777777" w:rsidR="00DE3C06" w:rsidRPr="000C5171" w:rsidRDefault="00DE3C06" w:rsidP="00DE3C06">
      <w:pPr>
        <w:spacing w:after="0" w:line="276" w:lineRule="auto"/>
        <w:jc w:val="both"/>
        <w:rPr>
          <w:rFonts w:cs="Tahoma"/>
          <w:sz w:val="22"/>
          <w:szCs w:val="22"/>
        </w:rPr>
      </w:pPr>
    </w:p>
    <w:p w14:paraId="3A7C85D3" w14:textId="77777777" w:rsidR="00DE3C06" w:rsidRPr="000C5171" w:rsidRDefault="00DE3C06" w:rsidP="00DE3C06">
      <w:pPr>
        <w:spacing w:after="0" w:line="276" w:lineRule="auto"/>
        <w:jc w:val="both"/>
        <w:rPr>
          <w:rFonts w:cs="Tahoma"/>
          <w:sz w:val="22"/>
          <w:szCs w:val="22"/>
        </w:rPr>
      </w:pPr>
      <w:r w:rsidRPr="000C5171">
        <w:rPr>
          <w:rFonts w:cs="Tahoma"/>
          <w:sz w:val="22"/>
          <w:szCs w:val="22"/>
        </w:rPr>
        <w:t>En este mismo sentido, se procederá a presentar una relación sistematizada de las temáticas recurrentes en las quejas disciplinarias, así como de las decisiones adoptadas por la Oficina Jurídica en cada caso, con el fin de evidenciar los criterios de análisis y actuación aplicados durante el periodo evaluado.</w:t>
      </w:r>
    </w:p>
    <w:p w14:paraId="5626BF86" w14:textId="77777777" w:rsidR="00DE3C06" w:rsidRDefault="00DE3C06" w:rsidP="00DE3C06">
      <w:pPr>
        <w:spacing w:after="0" w:line="276" w:lineRule="auto"/>
        <w:jc w:val="both"/>
        <w:rPr>
          <w:rFonts w:cs="Tahoma"/>
          <w:sz w:val="22"/>
          <w:szCs w:val="22"/>
        </w:rPr>
      </w:pPr>
    </w:p>
    <w:p w14:paraId="278E69A6" w14:textId="77777777" w:rsidR="00DE3C06" w:rsidRDefault="00DE3C06" w:rsidP="00DE3C06">
      <w:pPr>
        <w:pStyle w:val="Ttulo1"/>
        <w:spacing w:line="276" w:lineRule="auto"/>
        <w:rPr>
          <w:rFonts w:cs="Tahoma"/>
          <w:b/>
          <w:color w:val="0070C0"/>
        </w:rPr>
      </w:pPr>
      <w:bookmarkStart w:id="52" w:name="_Toc234168112"/>
      <w:r w:rsidRPr="000C5171">
        <w:rPr>
          <w:rFonts w:cs="Tahoma"/>
          <w:color w:val="0070C0"/>
        </w:rPr>
        <w:t>10.2.1 Control Archivo Expedientes Disciplinarios</w:t>
      </w:r>
      <w:bookmarkEnd w:id="52"/>
    </w:p>
    <w:p w14:paraId="1D77C359" w14:textId="77777777" w:rsidR="00DE3C06" w:rsidRDefault="00DE3C06" w:rsidP="00DE3C06">
      <w:pPr>
        <w:spacing w:line="276" w:lineRule="auto"/>
        <w:jc w:val="both"/>
        <w:rPr>
          <w:rFonts w:cs="Tahoma"/>
          <w:b/>
          <w:bCs/>
          <w:sz w:val="22"/>
          <w:szCs w:val="22"/>
        </w:rPr>
      </w:pPr>
      <w:r w:rsidRPr="000C5171">
        <w:rPr>
          <w:rFonts w:eastAsia="Times New Roman" w:cs="Tahoma"/>
          <w:sz w:val="22"/>
          <w:szCs w:val="22"/>
          <w:lang w:eastAsia="es-419"/>
        </w:rPr>
        <w:t>Se presenta el estado de los procesos disciplinarios para las vigencias 2023 a 2026.</w:t>
      </w:r>
      <w:r w:rsidRPr="000C5171">
        <w:rPr>
          <w:rFonts w:cs="Tahoma"/>
          <w:b/>
          <w:bCs/>
          <w:sz w:val="22"/>
          <w:szCs w:val="22"/>
        </w:rPr>
        <w:t xml:space="preserve"> VER ANEXO 30 ESTADO PROCESOS DISCIPLINARIOS</w:t>
      </w:r>
    </w:p>
    <w:p w14:paraId="168DF019" w14:textId="77777777" w:rsidR="00DE3C06" w:rsidRDefault="00DE3C06" w:rsidP="00DE3C06">
      <w:pPr>
        <w:spacing w:line="276" w:lineRule="auto"/>
        <w:jc w:val="both"/>
        <w:rPr>
          <w:rFonts w:cs="Tahoma"/>
          <w:b/>
          <w:bCs/>
          <w:sz w:val="22"/>
          <w:szCs w:val="22"/>
        </w:rPr>
      </w:pPr>
    </w:p>
    <w:p w14:paraId="5E409C7D" w14:textId="77777777" w:rsidR="00DE3C06" w:rsidRPr="000C5171" w:rsidRDefault="00DE3C06" w:rsidP="00DE3C06">
      <w:pPr>
        <w:spacing w:line="276" w:lineRule="auto"/>
        <w:jc w:val="both"/>
        <w:rPr>
          <w:rFonts w:cs="Tahoma"/>
          <w:b/>
          <w:bCs/>
          <w:sz w:val="22"/>
          <w:szCs w:val="22"/>
        </w:rPr>
      </w:pPr>
    </w:p>
    <w:p w14:paraId="6FC04418" w14:textId="77777777" w:rsidR="00DE3C06" w:rsidRPr="000C5171" w:rsidRDefault="00DE3C06" w:rsidP="00DE3C06">
      <w:pPr>
        <w:spacing w:line="276" w:lineRule="auto"/>
        <w:jc w:val="center"/>
        <w:rPr>
          <w:rFonts w:cs="Tahoma"/>
          <w:sz w:val="22"/>
          <w:szCs w:val="22"/>
        </w:rPr>
      </w:pPr>
      <w:r w:rsidRPr="00AB56CD">
        <w:rPr>
          <w:rFonts w:cs="Arial"/>
          <w:b/>
          <w:bCs/>
          <w:sz w:val="22"/>
          <w:szCs w:val="22"/>
        </w:rPr>
        <w:t>Tabla 1</w:t>
      </w:r>
      <w:r>
        <w:rPr>
          <w:rFonts w:cs="Arial"/>
          <w:b/>
          <w:bCs/>
          <w:sz w:val="22"/>
          <w:szCs w:val="22"/>
        </w:rPr>
        <w:t>8B</w:t>
      </w:r>
      <w:r w:rsidRPr="00AB56CD">
        <w:rPr>
          <w:rFonts w:cs="Arial"/>
          <w:b/>
          <w:bCs/>
          <w:sz w:val="22"/>
          <w:szCs w:val="22"/>
        </w:rPr>
        <w:t>. Procesos Activos</w:t>
      </w:r>
    </w:p>
    <w:tbl>
      <w:tblPr>
        <w:tblStyle w:val="Tablaconcuadrcula"/>
        <w:tblW w:w="0" w:type="auto"/>
        <w:jc w:val="center"/>
        <w:tblLook w:val="04A0" w:firstRow="1" w:lastRow="0" w:firstColumn="1" w:lastColumn="0" w:noHBand="0" w:noVBand="1"/>
      </w:tblPr>
      <w:tblGrid>
        <w:gridCol w:w="1540"/>
        <w:gridCol w:w="2280"/>
        <w:gridCol w:w="1660"/>
      </w:tblGrid>
      <w:tr w:rsidR="00DE3C06" w:rsidRPr="00422D9A" w14:paraId="7A6A4BF7" w14:textId="77777777" w:rsidTr="008A49D0">
        <w:trPr>
          <w:trHeight w:val="510"/>
          <w:jc w:val="center"/>
        </w:trPr>
        <w:tc>
          <w:tcPr>
            <w:tcW w:w="1540" w:type="dxa"/>
            <w:shd w:val="clear" w:color="auto" w:fill="C1F0C7"/>
            <w:hideMark/>
          </w:tcPr>
          <w:p w14:paraId="3E014102" w14:textId="77777777" w:rsidR="00DE3C06" w:rsidRPr="00422D9A" w:rsidRDefault="00DE3C06" w:rsidP="008A49D0">
            <w:pPr>
              <w:spacing w:line="276" w:lineRule="auto"/>
              <w:jc w:val="center"/>
              <w:rPr>
                <w:rFonts w:cs="Tahoma"/>
                <w:color w:val="275317" w:themeColor="accent6" w:themeShade="80"/>
                <w:sz w:val="22"/>
                <w:szCs w:val="22"/>
              </w:rPr>
            </w:pPr>
            <w:r w:rsidRPr="00422D9A">
              <w:rPr>
                <w:rFonts w:cs="Tahoma"/>
                <w:color w:val="275317" w:themeColor="accent6" w:themeShade="80"/>
                <w:sz w:val="22"/>
                <w:szCs w:val="22"/>
                <w:lang w:val="es-419"/>
              </w:rPr>
              <w:t>Año</w:t>
            </w:r>
          </w:p>
        </w:tc>
        <w:tc>
          <w:tcPr>
            <w:tcW w:w="2280" w:type="dxa"/>
            <w:shd w:val="clear" w:color="auto" w:fill="C1F0C7"/>
            <w:hideMark/>
          </w:tcPr>
          <w:p w14:paraId="5127BFF8" w14:textId="77777777" w:rsidR="00DE3C06" w:rsidRPr="00422D9A" w:rsidRDefault="00DE3C06" w:rsidP="008A49D0">
            <w:pPr>
              <w:spacing w:line="276" w:lineRule="auto"/>
              <w:jc w:val="center"/>
              <w:rPr>
                <w:rFonts w:cs="Tahoma"/>
                <w:color w:val="275317" w:themeColor="accent6" w:themeShade="80"/>
                <w:sz w:val="22"/>
                <w:szCs w:val="22"/>
              </w:rPr>
            </w:pPr>
            <w:r w:rsidRPr="00422D9A">
              <w:rPr>
                <w:rFonts w:cs="Tahoma"/>
                <w:color w:val="275317" w:themeColor="accent6" w:themeShade="80"/>
                <w:sz w:val="22"/>
                <w:szCs w:val="22"/>
                <w:lang w:val="es-419"/>
              </w:rPr>
              <w:t>No. de procesos</w:t>
            </w:r>
            <w:r w:rsidRPr="00422D9A">
              <w:rPr>
                <w:rFonts w:cs="Tahoma"/>
                <w:color w:val="275317" w:themeColor="accent6" w:themeShade="80"/>
                <w:sz w:val="22"/>
                <w:szCs w:val="22"/>
                <w:lang w:val="es-419"/>
              </w:rPr>
              <w:br/>
              <w:t xml:space="preserve"> activos</w:t>
            </w:r>
          </w:p>
        </w:tc>
        <w:tc>
          <w:tcPr>
            <w:tcW w:w="1660" w:type="dxa"/>
            <w:shd w:val="clear" w:color="auto" w:fill="C1F0C7"/>
            <w:hideMark/>
          </w:tcPr>
          <w:p w14:paraId="7CFC698D" w14:textId="77777777" w:rsidR="00DE3C06" w:rsidRPr="00422D9A" w:rsidRDefault="00DE3C06" w:rsidP="008A49D0">
            <w:pPr>
              <w:spacing w:line="276" w:lineRule="auto"/>
              <w:jc w:val="center"/>
              <w:rPr>
                <w:rFonts w:cs="Tahoma"/>
                <w:color w:val="275317" w:themeColor="accent6" w:themeShade="80"/>
                <w:sz w:val="22"/>
                <w:szCs w:val="22"/>
              </w:rPr>
            </w:pPr>
            <w:r w:rsidRPr="00422D9A">
              <w:rPr>
                <w:rFonts w:cs="Tahoma"/>
                <w:color w:val="275317" w:themeColor="accent6" w:themeShade="80"/>
                <w:sz w:val="22"/>
                <w:szCs w:val="22"/>
                <w:lang w:val="es-419"/>
              </w:rPr>
              <w:t>Estado</w:t>
            </w:r>
          </w:p>
        </w:tc>
      </w:tr>
      <w:tr w:rsidR="00DE3C06" w:rsidRPr="00422D9A" w14:paraId="6B9EA415" w14:textId="77777777" w:rsidTr="008A49D0">
        <w:trPr>
          <w:trHeight w:val="300"/>
          <w:jc w:val="center"/>
        </w:trPr>
        <w:tc>
          <w:tcPr>
            <w:tcW w:w="1540" w:type="dxa"/>
            <w:hideMark/>
          </w:tcPr>
          <w:p w14:paraId="5AF14BC6" w14:textId="77777777" w:rsidR="00DE3C06" w:rsidRPr="00422D9A" w:rsidRDefault="00DE3C06" w:rsidP="008A49D0">
            <w:pPr>
              <w:spacing w:line="276" w:lineRule="auto"/>
              <w:jc w:val="center"/>
              <w:rPr>
                <w:rFonts w:cs="Tahoma"/>
                <w:color w:val="275317" w:themeColor="accent6" w:themeShade="80"/>
                <w:sz w:val="22"/>
                <w:szCs w:val="22"/>
              </w:rPr>
            </w:pPr>
            <w:r w:rsidRPr="00422D9A">
              <w:rPr>
                <w:rFonts w:cs="Tahoma"/>
                <w:color w:val="275317" w:themeColor="accent6" w:themeShade="80"/>
                <w:sz w:val="22"/>
                <w:szCs w:val="22"/>
                <w:lang w:val="es-419"/>
              </w:rPr>
              <w:t>2025</w:t>
            </w:r>
          </w:p>
        </w:tc>
        <w:tc>
          <w:tcPr>
            <w:tcW w:w="2280" w:type="dxa"/>
            <w:hideMark/>
          </w:tcPr>
          <w:p w14:paraId="75F4CD4F" w14:textId="77777777" w:rsidR="00DE3C06" w:rsidRPr="00422D9A" w:rsidRDefault="00DE3C06" w:rsidP="008A49D0">
            <w:pPr>
              <w:spacing w:line="276" w:lineRule="auto"/>
              <w:jc w:val="center"/>
              <w:rPr>
                <w:rFonts w:cs="Tahoma"/>
                <w:color w:val="275317" w:themeColor="accent6" w:themeShade="80"/>
                <w:sz w:val="22"/>
                <w:szCs w:val="22"/>
              </w:rPr>
            </w:pPr>
            <w:r w:rsidRPr="00422D9A">
              <w:rPr>
                <w:rFonts w:cs="Tahoma"/>
                <w:color w:val="275317" w:themeColor="accent6" w:themeShade="80"/>
                <w:sz w:val="22"/>
                <w:szCs w:val="22"/>
                <w:lang w:val="es-419"/>
              </w:rPr>
              <w:t>21</w:t>
            </w:r>
          </w:p>
        </w:tc>
        <w:tc>
          <w:tcPr>
            <w:tcW w:w="1660" w:type="dxa"/>
            <w:hideMark/>
          </w:tcPr>
          <w:p w14:paraId="4B753C7F" w14:textId="77777777" w:rsidR="00DE3C06" w:rsidRPr="00422D9A" w:rsidRDefault="00DE3C06" w:rsidP="008A49D0">
            <w:pPr>
              <w:spacing w:line="276" w:lineRule="auto"/>
              <w:jc w:val="center"/>
              <w:rPr>
                <w:rFonts w:cs="Tahoma"/>
                <w:color w:val="275317" w:themeColor="accent6" w:themeShade="80"/>
                <w:sz w:val="22"/>
                <w:szCs w:val="22"/>
              </w:rPr>
            </w:pPr>
            <w:r w:rsidRPr="00422D9A">
              <w:rPr>
                <w:rFonts w:cs="Tahoma"/>
                <w:color w:val="275317" w:themeColor="accent6" w:themeShade="80"/>
                <w:sz w:val="22"/>
                <w:szCs w:val="22"/>
                <w:lang w:val="es-419"/>
              </w:rPr>
              <w:t>Instrucción</w:t>
            </w:r>
          </w:p>
        </w:tc>
      </w:tr>
      <w:tr w:rsidR="00DE3C06" w:rsidRPr="00422D9A" w14:paraId="72BDB4DF" w14:textId="77777777" w:rsidTr="008A49D0">
        <w:trPr>
          <w:trHeight w:val="300"/>
          <w:jc w:val="center"/>
        </w:trPr>
        <w:tc>
          <w:tcPr>
            <w:tcW w:w="1540" w:type="dxa"/>
            <w:hideMark/>
          </w:tcPr>
          <w:p w14:paraId="4009B290" w14:textId="77777777" w:rsidR="00DE3C06" w:rsidRPr="00422D9A" w:rsidRDefault="00DE3C06" w:rsidP="008A49D0">
            <w:pPr>
              <w:spacing w:line="276" w:lineRule="auto"/>
              <w:jc w:val="center"/>
              <w:rPr>
                <w:rFonts w:cs="Tahoma"/>
                <w:color w:val="275317" w:themeColor="accent6" w:themeShade="80"/>
                <w:sz w:val="22"/>
                <w:szCs w:val="22"/>
              </w:rPr>
            </w:pPr>
            <w:r w:rsidRPr="00422D9A">
              <w:rPr>
                <w:rFonts w:cs="Tahoma"/>
                <w:color w:val="275317" w:themeColor="accent6" w:themeShade="80"/>
                <w:sz w:val="22"/>
                <w:szCs w:val="22"/>
                <w:lang w:val="es-419"/>
              </w:rPr>
              <w:t>2026</w:t>
            </w:r>
          </w:p>
        </w:tc>
        <w:tc>
          <w:tcPr>
            <w:tcW w:w="2280" w:type="dxa"/>
            <w:hideMark/>
          </w:tcPr>
          <w:p w14:paraId="4F141EBF" w14:textId="77777777" w:rsidR="00DE3C06" w:rsidRPr="00422D9A" w:rsidRDefault="00DE3C06" w:rsidP="008A49D0">
            <w:pPr>
              <w:spacing w:line="276" w:lineRule="auto"/>
              <w:jc w:val="center"/>
              <w:rPr>
                <w:rFonts w:cs="Tahoma"/>
                <w:color w:val="275317" w:themeColor="accent6" w:themeShade="80"/>
                <w:sz w:val="22"/>
                <w:szCs w:val="22"/>
              </w:rPr>
            </w:pPr>
            <w:r w:rsidRPr="00422D9A">
              <w:rPr>
                <w:rFonts w:cs="Tahoma"/>
                <w:color w:val="275317" w:themeColor="accent6" w:themeShade="80"/>
                <w:sz w:val="22"/>
                <w:szCs w:val="22"/>
                <w:lang w:val="es-419"/>
              </w:rPr>
              <w:t>38</w:t>
            </w:r>
          </w:p>
        </w:tc>
        <w:tc>
          <w:tcPr>
            <w:tcW w:w="1660" w:type="dxa"/>
            <w:hideMark/>
          </w:tcPr>
          <w:p w14:paraId="51EC5675" w14:textId="77777777" w:rsidR="00DE3C06" w:rsidRPr="00422D9A" w:rsidRDefault="00DE3C06" w:rsidP="008A49D0">
            <w:pPr>
              <w:spacing w:line="276" w:lineRule="auto"/>
              <w:jc w:val="center"/>
              <w:rPr>
                <w:rFonts w:cs="Tahoma"/>
                <w:color w:val="275317" w:themeColor="accent6" w:themeShade="80"/>
                <w:sz w:val="22"/>
                <w:szCs w:val="22"/>
              </w:rPr>
            </w:pPr>
            <w:r w:rsidRPr="00422D9A">
              <w:rPr>
                <w:rFonts w:cs="Tahoma"/>
                <w:color w:val="275317" w:themeColor="accent6" w:themeShade="80"/>
                <w:sz w:val="22"/>
                <w:szCs w:val="22"/>
                <w:lang w:val="es-419"/>
              </w:rPr>
              <w:t>Instrucción</w:t>
            </w:r>
          </w:p>
        </w:tc>
      </w:tr>
      <w:tr w:rsidR="00DE3C06" w:rsidRPr="00422D9A" w14:paraId="27D10185" w14:textId="77777777" w:rsidTr="008A49D0">
        <w:trPr>
          <w:trHeight w:val="300"/>
          <w:jc w:val="center"/>
        </w:trPr>
        <w:tc>
          <w:tcPr>
            <w:tcW w:w="1540" w:type="dxa"/>
            <w:hideMark/>
          </w:tcPr>
          <w:p w14:paraId="72D0BE34" w14:textId="77777777" w:rsidR="00DE3C06" w:rsidRPr="00422D9A" w:rsidRDefault="00DE3C06" w:rsidP="008A49D0">
            <w:pPr>
              <w:spacing w:line="276" w:lineRule="auto"/>
              <w:jc w:val="center"/>
              <w:rPr>
                <w:rFonts w:cs="Tahoma"/>
                <w:color w:val="275317" w:themeColor="accent6" w:themeShade="80"/>
                <w:sz w:val="22"/>
                <w:szCs w:val="22"/>
              </w:rPr>
            </w:pPr>
            <w:r w:rsidRPr="00422D9A">
              <w:rPr>
                <w:rFonts w:cs="Tahoma"/>
                <w:color w:val="275317" w:themeColor="accent6" w:themeShade="80"/>
                <w:sz w:val="22"/>
                <w:szCs w:val="22"/>
                <w:lang w:val="es-419"/>
              </w:rPr>
              <w:t>TOTAL</w:t>
            </w:r>
          </w:p>
        </w:tc>
        <w:tc>
          <w:tcPr>
            <w:tcW w:w="2280" w:type="dxa"/>
            <w:hideMark/>
          </w:tcPr>
          <w:p w14:paraId="4D1DC002" w14:textId="77777777" w:rsidR="00DE3C06" w:rsidRPr="00422D9A" w:rsidRDefault="00DE3C06" w:rsidP="008A49D0">
            <w:pPr>
              <w:spacing w:line="276" w:lineRule="auto"/>
              <w:jc w:val="center"/>
              <w:rPr>
                <w:rFonts w:cs="Tahoma"/>
                <w:color w:val="275317" w:themeColor="accent6" w:themeShade="80"/>
                <w:sz w:val="22"/>
                <w:szCs w:val="22"/>
              </w:rPr>
            </w:pPr>
            <w:r w:rsidRPr="00422D9A">
              <w:rPr>
                <w:rFonts w:cs="Tahoma"/>
                <w:color w:val="275317" w:themeColor="accent6" w:themeShade="80"/>
                <w:sz w:val="22"/>
                <w:szCs w:val="22"/>
                <w:lang w:val="es-419"/>
              </w:rPr>
              <w:t>59</w:t>
            </w:r>
          </w:p>
        </w:tc>
        <w:tc>
          <w:tcPr>
            <w:tcW w:w="1660" w:type="dxa"/>
            <w:hideMark/>
          </w:tcPr>
          <w:p w14:paraId="095BF4F5" w14:textId="77777777" w:rsidR="00DE3C06" w:rsidRPr="00422D9A" w:rsidRDefault="00DE3C06" w:rsidP="008A49D0">
            <w:pPr>
              <w:spacing w:line="276" w:lineRule="auto"/>
              <w:jc w:val="center"/>
              <w:rPr>
                <w:rFonts w:cs="Tahoma"/>
                <w:color w:val="275317" w:themeColor="accent6" w:themeShade="80"/>
                <w:sz w:val="22"/>
                <w:szCs w:val="22"/>
              </w:rPr>
            </w:pPr>
            <w:r w:rsidRPr="00422D9A">
              <w:rPr>
                <w:rFonts w:cs="Tahoma"/>
                <w:color w:val="275317" w:themeColor="accent6" w:themeShade="80"/>
                <w:sz w:val="22"/>
                <w:szCs w:val="22"/>
                <w:lang w:val="es-419"/>
              </w:rPr>
              <w:t>Instrucción</w:t>
            </w:r>
          </w:p>
        </w:tc>
      </w:tr>
    </w:tbl>
    <w:p w14:paraId="18340CBB" w14:textId="77777777" w:rsidR="00DE3C06" w:rsidRPr="000C5171" w:rsidRDefault="00DE3C06" w:rsidP="00DE3C06">
      <w:pPr>
        <w:spacing w:after="0" w:line="276" w:lineRule="auto"/>
        <w:jc w:val="both"/>
        <w:rPr>
          <w:rFonts w:eastAsia="Times New Roman" w:cs="Tahoma"/>
          <w:bCs/>
          <w:sz w:val="22"/>
          <w:szCs w:val="22"/>
          <w:lang w:eastAsia="es-419"/>
        </w:rPr>
      </w:pPr>
    </w:p>
    <w:p w14:paraId="1FD92B5E" w14:textId="77777777" w:rsidR="00DE3C06" w:rsidRPr="000C5171" w:rsidRDefault="00DE3C06" w:rsidP="00DE3C06">
      <w:pPr>
        <w:spacing w:after="0" w:line="276" w:lineRule="auto"/>
        <w:jc w:val="both"/>
        <w:rPr>
          <w:rFonts w:eastAsia="Times New Roman" w:cs="Tahoma"/>
          <w:bCs/>
          <w:sz w:val="22"/>
          <w:szCs w:val="22"/>
          <w:lang w:eastAsia="es-419"/>
        </w:rPr>
      </w:pPr>
      <w:r w:rsidRPr="000C5171">
        <w:rPr>
          <w:rFonts w:eastAsia="Times New Roman" w:cs="Tahoma"/>
          <w:bCs/>
          <w:sz w:val="22"/>
          <w:szCs w:val="22"/>
          <w:lang w:eastAsia="es-419"/>
        </w:rPr>
        <w:t>Se informa que, de conformidad con lo dispuesto en el artículo 115 de la Ley 1952 de 2019, las actuaciones disciplinarias tienen carácter reservado durante la etapa de instrucción, hasta tanto se cite a audiencia y se formule pliego de cargos o se profiera la decisión que ordene el archivo definitivo de la actuación.</w:t>
      </w:r>
    </w:p>
    <w:p w14:paraId="696168EC" w14:textId="77777777" w:rsidR="00DE3C06" w:rsidRPr="000C5171" w:rsidRDefault="00DE3C06" w:rsidP="00DE3C06">
      <w:pPr>
        <w:spacing w:after="0" w:line="276" w:lineRule="auto"/>
        <w:jc w:val="both"/>
        <w:rPr>
          <w:rFonts w:eastAsia="Times New Roman" w:cs="Tahoma"/>
          <w:bCs/>
          <w:sz w:val="22"/>
          <w:szCs w:val="22"/>
          <w:lang w:eastAsia="es-419"/>
        </w:rPr>
      </w:pPr>
    </w:p>
    <w:p w14:paraId="59031347" w14:textId="77777777" w:rsidR="00DE3C06" w:rsidRPr="000C5171" w:rsidRDefault="00DE3C06" w:rsidP="00DE3C06">
      <w:pPr>
        <w:spacing w:after="0" w:line="276" w:lineRule="auto"/>
        <w:jc w:val="both"/>
        <w:rPr>
          <w:rFonts w:eastAsia="Times New Roman" w:cs="Tahoma"/>
          <w:bCs/>
          <w:sz w:val="22"/>
          <w:szCs w:val="22"/>
          <w:lang w:eastAsia="es-419"/>
        </w:rPr>
      </w:pPr>
      <w:r w:rsidRPr="000C5171">
        <w:rPr>
          <w:rFonts w:eastAsia="Times New Roman" w:cs="Tahoma"/>
          <w:bCs/>
          <w:sz w:val="22"/>
          <w:szCs w:val="22"/>
          <w:lang w:eastAsia="es-419"/>
        </w:rPr>
        <w:t xml:space="preserve">En consecuencia, la Entidad se encuentra legalmente imposibilitada para suministrar información particularizada o detallada sobre los expedientes disciplinarios que se encuentran en curso, por cuanto ello implicaría desconocer la reserva legal que ampara dichas </w:t>
      </w:r>
      <w:r w:rsidRPr="000C5171">
        <w:rPr>
          <w:rFonts w:eastAsia="Times New Roman" w:cs="Tahoma"/>
          <w:bCs/>
          <w:sz w:val="22"/>
          <w:szCs w:val="22"/>
          <w:lang w:eastAsia="es-419"/>
        </w:rPr>
        <w:lastRenderedPageBreak/>
        <w:t>actuaciones. Por esta razón, únicamente es procedente suministrar la información de carácter agregado, correspondiente a las cifras consolidadas por vigencia, presentada previamente, garantizando de esta manera el cumplimiento de la reserva legal y la protección de los derechos y garantías de los sujetos procesales involucrados.</w:t>
      </w:r>
    </w:p>
    <w:p w14:paraId="66077A0F" w14:textId="77777777" w:rsidR="00DE3C06" w:rsidRPr="000C5171" w:rsidRDefault="00DE3C06" w:rsidP="00DE3C06">
      <w:pPr>
        <w:spacing w:after="0" w:line="276" w:lineRule="auto"/>
        <w:jc w:val="both"/>
        <w:rPr>
          <w:rFonts w:eastAsia="Times New Roman" w:cs="Tahoma"/>
          <w:sz w:val="22"/>
          <w:szCs w:val="22"/>
          <w:lang w:eastAsia="es-419"/>
        </w:rPr>
      </w:pPr>
    </w:p>
    <w:p w14:paraId="47E28789" w14:textId="77777777" w:rsidR="00DE3C06" w:rsidRPr="000C5171" w:rsidRDefault="00DE3C06" w:rsidP="00DE3C06">
      <w:pPr>
        <w:spacing w:after="0" w:line="276" w:lineRule="auto"/>
        <w:jc w:val="both"/>
        <w:rPr>
          <w:rFonts w:eastAsia="Times New Roman" w:cs="Tahoma"/>
          <w:sz w:val="22"/>
          <w:szCs w:val="22"/>
          <w:lang w:eastAsia="es-419"/>
        </w:rPr>
      </w:pPr>
    </w:p>
    <w:p w14:paraId="587676CC" w14:textId="77777777" w:rsidR="00DE3C06" w:rsidRPr="000C5171" w:rsidRDefault="00DE3C06" w:rsidP="00DE3C06">
      <w:pPr>
        <w:pStyle w:val="Ttulo1"/>
        <w:spacing w:line="276" w:lineRule="auto"/>
        <w:rPr>
          <w:rFonts w:cs="Tahoma"/>
          <w:color w:val="0070C0"/>
        </w:rPr>
      </w:pPr>
      <w:bookmarkStart w:id="53" w:name="_Toc234168113"/>
      <w:r w:rsidRPr="000C5171">
        <w:rPr>
          <w:rFonts w:cs="Tahoma"/>
          <w:color w:val="0070C0"/>
        </w:rPr>
        <w:t>10.3 Estado del sistema de control interno</w:t>
      </w:r>
      <w:bookmarkEnd w:id="53"/>
      <w:r w:rsidRPr="000C5171">
        <w:rPr>
          <w:rFonts w:cs="Tahoma"/>
          <w:color w:val="0070C0"/>
        </w:rPr>
        <w:tab/>
      </w:r>
      <w:r w:rsidRPr="000C5171">
        <w:rPr>
          <w:rFonts w:cs="Tahoma"/>
          <w:color w:val="0070C0"/>
        </w:rPr>
        <w:tab/>
      </w:r>
      <w:r w:rsidRPr="000C5171">
        <w:rPr>
          <w:rFonts w:cs="Tahoma"/>
          <w:color w:val="0070C0"/>
        </w:rPr>
        <w:tab/>
      </w:r>
      <w:r w:rsidRPr="000C5171">
        <w:rPr>
          <w:rFonts w:cs="Tahoma"/>
          <w:color w:val="0070C0"/>
        </w:rPr>
        <w:tab/>
      </w:r>
    </w:p>
    <w:p w14:paraId="53B85CC1" w14:textId="77777777" w:rsidR="00DE3C06" w:rsidRPr="000C5171" w:rsidRDefault="00DE3C06" w:rsidP="00DE3C06">
      <w:pPr>
        <w:spacing w:line="276" w:lineRule="auto"/>
        <w:jc w:val="both"/>
        <w:rPr>
          <w:rFonts w:cs="Tahoma"/>
          <w:sz w:val="22"/>
          <w:szCs w:val="22"/>
        </w:rPr>
      </w:pPr>
      <w:r w:rsidRPr="000C5171">
        <w:rPr>
          <w:rFonts w:cs="Tahoma"/>
          <w:sz w:val="22"/>
          <w:szCs w:val="22"/>
        </w:rPr>
        <w:t>La ART ha consolidado su Sistema de Control Interno con un índice de desempeño del 98%, ubicándose en el rango de Eficiente. Este resultado evidencia que los componentes del sistema no solo están vigentes, sino que actúan como un mecanismo de aseguramiento transversal bajo los lineamientos del Modelo Integrado de Planeación y Gestión (MIPG). La efectividad en la ejecución de las actividades de control no solo garantiza el cumplimiento riguroso de los objetivos institucionales y la mitigación proactiva de riesgos, sino que se constituye en el pilar fundamental para la toma de decisiones, garantizando la eficiencia en el uso de los recursos y la transparencia en la consolidación de la transformación. (</w:t>
      </w:r>
      <w:r w:rsidRPr="007E166F">
        <w:rPr>
          <w:rFonts w:cs="Tahoma"/>
          <w:b/>
          <w:bCs/>
          <w:sz w:val="22"/>
          <w:szCs w:val="22"/>
          <w:u w:val="single"/>
        </w:rPr>
        <w:t>ANEXO</w:t>
      </w:r>
      <w:r w:rsidRPr="000C5171">
        <w:rPr>
          <w:rFonts w:cs="Tahoma"/>
          <w:sz w:val="22"/>
          <w:szCs w:val="22"/>
          <w:u w:val="single"/>
        </w:rPr>
        <w:t xml:space="preserve"> 31 Estado Sistema Control Interno</w:t>
      </w:r>
      <w:r w:rsidRPr="000C5171">
        <w:rPr>
          <w:rFonts w:cs="Tahoma"/>
          <w:sz w:val="22"/>
          <w:szCs w:val="22"/>
        </w:rPr>
        <w:t>)</w:t>
      </w:r>
    </w:p>
    <w:p w14:paraId="62CB407D" w14:textId="77777777" w:rsidR="00DE3C06" w:rsidRPr="000C5171" w:rsidRDefault="00DE3C06" w:rsidP="00DE3C06">
      <w:pPr>
        <w:spacing w:line="276" w:lineRule="auto"/>
        <w:jc w:val="both"/>
        <w:rPr>
          <w:rFonts w:cs="Tahoma"/>
          <w:sz w:val="22"/>
          <w:szCs w:val="22"/>
        </w:rPr>
      </w:pPr>
      <w:r w:rsidRPr="000C5171">
        <w:rPr>
          <w:rFonts w:cs="Tahoma"/>
          <w:sz w:val="22"/>
          <w:szCs w:val="22"/>
        </w:rPr>
        <w:t>Como resultado de los procesos de auditoría y seguimiento, las dependencias de la ART formalizaron sus respectivos planes de mejoramiento. Con corte al 31 de diciembre de 2026, el estado de avance se detalla a continuación:</w:t>
      </w:r>
    </w:p>
    <w:p w14:paraId="2A75D63A" w14:textId="77777777" w:rsidR="00DE3C06" w:rsidRPr="000C5171" w:rsidRDefault="00DE3C06" w:rsidP="00DE3C06">
      <w:pPr>
        <w:spacing w:line="276" w:lineRule="auto"/>
        <w:jc w:val="center"/>
        <w:rPr>
          <w:rFonts w:cs="Arial"/>
          <w:b/>
          <w:bCs/>
          <w:sz w:val="22"/>
          <w:szCs w:val="22"/>
        </w:rPr>
      </w:pPr>
      <w:r w:rsidRPr="000C5171">
        <w:rPr>
          <w:rFonts w:cs="Arial"/>
          <w:b/>
          <w:bCs/>
          <w:sz w:val="22"/>
          <w:szCs w:val="22"/>
        </w:rPr>
        <w:t>TABLA 19. Sistema De Control Interno</w:t>
      </w:r>
    </w:p>
    <w:tbl>
      <w:tblPr>
        <w:tblW w:w="8532" w:type="dxa"/>
        <w:tblInd w:w="416"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4A0" w:firstRow="1" w:lastRow="0" w:firstColumn="1" w:lastColumn="0" w:noHBand="0" w:noVBand="1"/>
      </w:tblPr>
      <w:tblGrid>
        <w:gridCol w:w="1751"/>
        <w:gridCol w:w="984"/>
        <w:gridCol w:w="1003"/>
        <w:gridCol w:w="1254"/>
        <w:gridCol w:w="1120"/>
        <w:gridCol w:w="1175"/>
        <w:gridCol w:w="1245"/>
      </w:tblGrid>
      <w:tr w:rsidR="00DE3C06" w:rsidRPr="000C5171" w14:paraId="2E0B8D0C" w14:textId="77777777" w:rsidTr="008A49D0">
        <w:trPr>
          <w:trHeight w:val="857"/>
        </w:trPr>
        <w:tc>
          <w:tcPr>
            <w:tcW w:w="1751" w:type="dxa"/>
            <w:noWrap/>
            <w:tcMar>
              <w:top w:w="0" w:type="dxa"/>
              <w:left w:w="70" w:type="dxa"/>
              <w:bottom w:w="0" w:type="dxa"/>
              <w:right w:w="70" w:type="dxa"/>
            </w:tcMar>
            <w:vAlign w:val="center"/>
            <w:hideMark/>
          </w:tcPr>
          <w:p w14:paraId="05A8283F" w14:textId="77777777" w:rsidR="00DE3C06" w:rsidRPr="00422D9A" w:rsidRDefault="00DE3C06" w:rsidP="008A49D0">
            <w:pPr>
              <w:spacing w:after="0" w:line="240" w:lineRule="auto"/>
              <w:ind w:left="180" w:hanging="90"/>
              <w:jc w:val="center"/>
              <w:rPr>
                <w:rFonts w:eastAsia="Nunito" w:cs="Tahoma"/>
                <w:b/>
                <w:bCs/>
                <w:color w:val="275317" w:themeColor="accent6" w:themeShade="80"/>
                <w:sz w:val="18"/>
                <w:szCs w:val="18"/>
                <w:lang w:val="es"/>
              </w:rPr>
            </w:pPr>
            <w:r w:rsidRPr="00422D9A">
              <w:rPr>
                <w:rFonts w:eastAsia="Nunito" w:cs="Tahoma"/>
                <w:b/>
                <w:bCs/>
                <w:color w:val="275317" w:themeColor="accent6" w:themeShade="80"/>
                <w:sz w:val="18"/>
                <w:szCs w:val="18"/>
                <w:lang w:val="es"/>
              </w:rPr>
              <w:t>TIPO DE INFORME</w:t>
            </w:r>
          </w:p>
        </w:tc>
        <w:tc>
          <w:tcPr>
            <w:tcW w:w="984" w:type="dxa"/>
            <w:tcMar>
              <w:top w:w="0" w:type="dxa"/>
              <w:left w:w="70" w:type="dxa"/>
              <w:bottom w:w="0" w:type="dxa"/>
              <w:right w:w="70" w:type="dxa"/>
            </w:tcMar>
            <w:vAlign w:val="center"/>
            <w:hideMark/>
          </w:tcPr>
          <w:p w14:paraId="1F1C9CB4" w14:textId="77777777" w:rsidR="00DE3C06" w:rsidRPr="00422D9A" w:rsidRDefault="00DE3C06" w:rsidP="008A49D0">
            <w:pPr>
              <w:spacing w:after="0" w:line="240" w:lineRule="auto"/>
              <w:jc w:val="center"/>
              <w:rPr>
                <w:rFonts w:eastAsia="Arial" w:cs="Tahoma"/>
                <w:b/>
                <w:bCs/>
                <w:color w:val="275317" w:themeColor="accent6" w:themeShade="80"/>
                <w:sz w:val="16"/>
                <w:szCs w:val="16"/>
              </w:rPr>
            </w:pPr>
            <w:proofErr w:type="gramStart"/>
            <w:r w:rsidRPr="00422D9A">
              <w:rPr>
                <w:rFonts w:eastAsia="Arial" w:cs="Tahoma"/>
                <w:b/>
                <w:bCs/>
                <w:color w:val="275317" w:themeColor="accent6" w:themeShade="80"/>
                <w:sz w:val="16"/>
                <w:szCs w:val="16"/>
              </w:rPr>
              <w:t>TOTAL</w:t>
            </w:r>
            <w:proofErr w:type="gramEnd"/>
            <w:r w:rsidRPr="00422D9A">
              <w:rPr>
                <w:rFonts w:eastAsia="Arial" w:cs="Tahoma"/>
                <w:b/>
                <w:bCs/>
                <w:color w:val="275317" w:themeColor="accent6" w:themeShade="80"/>
                <w:sz w:val="16"/>
                <w:szCs w:val="16"/>
              </w:rPr>
              <w:t xml:space="preserve"> OPORTUNIDADES DE MEJORA (H/O)</w:t>
            </w:r>
          </w:p>
        </w:tc>
        <w:tc>
          <w:tcPr>
            <w:tcW w:w="1003" w:type="dxa"/>
            <w:tcMar>
              <w:top w:w="0" w:type="dxa"/>
              <w:left w:w="70" w:type="dxa"/>
              <w:bottom w:w="0" w:type="dxa"/>
              <w:right w:w="70" w:type="dxa"/>
            </w:tcMar>
            <w:vAlign w:val="center"/>
            <w:hideMark/>
          </w:tcPr>
          <w:p w14:paraId="27B4787D" w14:textId="77777777" w:rsidR="00DE3C06" w:rsidRPr="00422D9A" w:rsidRDefault="00DE3C06" w:rsidP="008A49D0">
            <w:pPr>
              <w:spacing w:after="0" w:line="240" w:lineRule="auto"/>
              <w:jc w:val="center"/>
              <w:rPr>
                <w:rFonts w:eastAsia="Arial" w:cs="Tahoma"/>
                <w:b/>
                <w:bCs/>
                <w:color w:val="275317" w:themeColor="accent6" w:themeShade="80"/>
                <w:sz w:val="16"/>
                <w:szCs w:val="16"/>
              </w:rPr>
            </w:pPr>
            <w:proofErr w:type="gramStart"/>
            <w:r w:rsidRPr="00422D9A">
              <w:rPr>
                <w:rFonts w:eastAsia="Arial" w:cs="Tahoma"/>
                <w:b/>
                <w:bCs/>
                <w:color w:val="275317" w:themeColor="accent6" w:themeShade="80"/>
                <w:sz w:val="16"/>
                <w:szCs w:val="16"/>
              </w:rPr>
              <w:t>TOTAL</w:t>
            </w:r>
            <w:proofErr w:type="gramEnd"/>
            <w:r w:rsidRPr="00422D9A">
              <w:rPr>
                <w:rFonts w:eastAsia="Arial" w:cs="Tahoma"/>
                <w:b/>
                <w:bCs/>
                <w:color w:val="275317" w:themeColor="accent6" w:themeShade="80"/>
                <w:sz w:val="16"/>
                <w:szCs w:val="16"/>
              </w:rPr>
              <w:t xml:space="preserve"> ACCIONES</w:t>
            </w:r>
          </w:p>
        </w:tc>
        <w:tc>
          <w:tcPr>
            <w:tcW w:w="1254" w:type="dxa"/>
            <w:tcMar>
              <w:top w:w="0" w:type="dxa"/>
              <w:left w:w="70" w:type="dxa"/>
              <w:bottom w:w="0" w:type="dxa"/>
              <w:right w:w="70" w:type="dxa"/>
            </w:tcMar>
            <w:vAlign w:val="center"/>
            <w:hideMark/>
          </w:tcPr>
          <w:p w14:paraId="517F17BE" w14:textId="77777777" w:rsidR="00DE3C06" w:rsidRPr="00422D9A" w:rsidRDefault="00DE3C06" w:rsidP="008A49D0">
            <w:pPr>
              <w:spacing w:after="0" w:line="240" w:lineRule="auto"/>
              <w:jc w:val="center"/>
              <w:rPr>
                <w:rFonts w:eastAsia="Arial" w:cs="Tahoma"/>
                <w:b/>
                <w:bCs/>
                <w:color w:val="275317" w:themeColor="accent6" w:themeShade="80"/>
                <w:sz w:val="16"/>
                <w:szCs w:val="16"/>
              </w:rPr>
            </w:pPr>
            <w:proofErr w:type="gramStart"/>
            <w:r w:rsidRPr="00422D9A">
              <w:rPr>
                <w:rFonts w:eastAsia="Arial" w:cs="Tahoma"/>
                <w:b/>
                <w:bCs/>
                <w:color w:val="275317" w:themeColor="accent6" w:themeShade="80"/>
                <w:sz w:val="16"/>
                <w:szCs w:val="16"/>
              </w:rPr>
              <w:t>TOTAL</w:t>
            </w:r>
            <w:proofErr w:type="gramEnd"/>
            <w:r w:rsidRPr="00422D9A">
              <w:rPr>
                <w:rFonts w:eastAsia="Arial" w:cs="Tahoma"/>
                <w:b/>
                <w:bCs/>
                <w:color w:val="275317" w:themeColor="accent6" w:themeShade="80"/>
                <w:sz w:val="16"/>
                <w:szCs w:val="16"/>
              </w:rPr>
              <w:t xml:space="preserve"> ACTIVIDADES</w:t>
            </w:r>
          </w:p>
        </w:tc>
        <w:tc>
          <w:tcPr>
            <w:tcW w:w="1120" w:type="dxa"/>
            <w:tcMar>
              <w:top w:w="0" w:type="dxa"/>
              <w:left w:w="70" w:type="dxa"/>
              <w:bottom w:w="0" w:type="dxa"/>
              <w:right w:w="70" w:type="dxa"/>
            </w:tcMar>
            <w:vAlign w:val="center"/>
            <w:hideMark/>
          </w:tcPr>
          <w:p w14:paraId="13BEC70B" w14:textId="77777777" w:rsidR="00DE3C06" w:rsidRPr="00422D9A" w:rsidRDefault="00DE3C06" w:rsidP="008A49D0">
            <w:pPr>
              <w:spacing w:after="0" w:line="240" w:lineRule="auto"/>
              <w:jc w:val="center"/>
              <w:rPr>
                <w:rFonts w:eastAsia="Arial" w:cs="Tahoma"/>
                <w:b/>
                <w:bCs/>
                <w:color w:val="275317" w:themeColor="accent6" w:themeShade="80"/>
                <w:sz w:val="16"/>
                <w:szCs w:val="16"/>
                <w:lang w:val="es"/>
              </w:rPr>
            </w:pPr>
            <w:r w:rsidRPr="00422D9A">
              <w:rPr>
                <w:rFonts w:eastAsia="Arial" w:cs="Tahoma"/>
                <w:b/>
                <w:bCs/>
                <w:color w:val="275317" w:themeColor="accent6" w:themeShade="80"/>
                <w:sz w:val="16"/>
                <w:szCs w:val="16"/>
                <w:lang w:val="es"/>
              </w:rPr>
              <w:t>ACTIVIDADES CUMPLIDAS</w:t>
            </w:r>
          </w:p>
        </w:tc>
        <w:tc>
          <w:tcPr>
            <w:tcW w:w="1175" w:type="dxa"/>
            <w:tcMar>
              <w:top w:w="0" w:type="dxa"/>
              <w:left w:w="70" w:type="dxa"/>
              <w:bottom w:w="0" w:type="dxa"/>
              <w:right w:w="70" w:type="dxa"/>
            </w:tcMar>
            <w:vAlign w:val="center"/>
            <w:hideMark/>
          </w:tcPr>
          <w:p w14:paraId="18E69D82" w14:textId="77777777" w:rsidR="00DE3C06" w:rsidRPr="00422D9A" w:rsidRDefault="00DE3C06" w:rsidP="008A49D0">
            <w:pPr>
              <w:spacing w:after="0" w:line="240" w:lineRule="auto"/>
              <w:jc w:val="center"/>
              <w:rPr>
                <w:rFonts w:eastAsia="Arial" w:cs="Tahoma"/>
                <w:b/>
                <w:bCs/>
                <w:color w:val="275317" w:themeColor="accent6" w:themeShade="80"/>
                <w:sz w:val="16"/>
                <w:szCs w:val="16"/>
                <w:lang w:val="es"/>
              </w:rPr>
            </w:pPr>
            <w:r w:rsidRPr="00422D9A">
              <w:rPr>
                <w:rFonts w:eastAsia="Arial" w:cs="Tahoma"/>
                <w:b/>
                <w:bCs/>
                <w:color w:val="275317" w:themeColor="accent6" w:themeShade="80"/>
                <w:sz w:val="16"/>
                <w:szCs w:val="16"/>
                <w:lang w:val="es"/>
              </w:rPr>
              <w:t>ACTIVIDADES EN EJECUCION</w:t>
            </w:r>
          </w:p>
        </w:tc>
        <w:tc>
          <w:tcPr>
            <w:tcW w:w="1245" w:type="dxa"/>
            <w:tcMar>
              <w:top w:w="0" w:type="dxa"/>
              <w:left w:w="70" w:type="dxa"/>
              <w:bottom w:w="0" w:type="dxa"/>
              <w:right w:w="70" w:type="dxa"/>
            </w:tcMar>
            <w:vAlign w:val="center"/>
            <w:hideMark/>
          </w:tcPr>
          <w:p w14:paraId="623533A8" w14:textId="77777777" w:rsidR="00DE3C06" w:rsidRPr="00422D9A" w:rsidRDefault="00DE3C06" w:rsidP="008A49D0">
            <w:pPr>
              <w:spacing w:after="0" w:line="240" w:lineRule="auto"/>
              <w:jc w:val="center"/>
              <w:rPr>
                <w:rFonts w:eastAsia="Arial" w:cs="Tahoma"/>
                <w:b/>
                <w:bCs/>
                <w:color w:val="275317" w:themeColor="accent6" w:themeShade="80"/>
                <w:sz w:val="16"/>
                <w:szCs w:val="16"/>
                <w:lang w:val="es"/>
              </w:rPr>
            </w:pPr>
            <w:r w:rsidRPr="00422D9A">
              <w:rPr>
                <w:rFonts w:eastAsia="Arial" w:cs="Tahoma"/>
                <w:b/>
                <w:bCs/>
                <w:color w:val="275317" w:themeColor="accent6" w:themeShade="80"/>
                <w:sz w:val="16"/>
                <w:szCs w:val="16"/>
                <w:lang w:val="es"/>
              </w:rPr>
              <w:t>ACTIVIDADES INCUMPLIDAS</w:t>
            </w:r>
          </w:p>
        </w:tc>
      </w:tr>
      <w:tr w:rsidR="00DE3C06" w:rsidRPr="000C5171" w14:paraId="2F9E19B3" w14:textId="77777777" w:rsidTr="008A49D0">
        <w:trPr>
          <w:trHeight w:val="500"/>
        </w:trPr>
        <w:tc>
          <w:tcPr>
            <w:tcW w:w="1751" w:type="dxa"/>
            <w:shd w:val="clear" w:color="auto" w:fill="C1F0C7"/>
            <w:noWrap/>
            <w:tcMar>
              <w:top w:w="0" w:type="dxa"/>
              <w:left w:w="70" w:type="dxa"/>
              <w:bottom w:w="0" w:type="dxa"/>
              <w:right w:w="70" w:type="dxa"/>
            </w:tcMar>
            <w:vAlign w:val="center"/>
            <w:hideMark/>
          </w:tcPr>
          <w:p w14:paraId="0C2ED71C" w14:textId="77777777" w:rsidR="00DE3C06" w:rsidRPr="00422D9A" w:rsidRDefault="00DE3C06" w:rsidP="008A49D0">
            <w:pPr>
              <w:spacing w:after="0" w:line="240" w:lineRule="auto"/>
              <w:ind w:left="180" w:hanging="90"/>
              <w:jc w:val="center"/>
              <w:rPr>
                <w:rFonts w:eastAsia="Nunito" w:cs="Tahoma"/>
                <w:b/>
                <w:bCs/>
                <w:color w:val="275317" w:themeColor="accent6" w:themeShade="80"/>
                <w:sz w:val="18"/>
                <w:szCs w:val="18"/>
                <w:lang w:val="es"/>
              </w:rPr>
            </w:pPr>
            <w:r w:rsidRPr="00422D9A">
              <w:rPr>
                <w:rFonts w:eastAsia="Nunito" w:cs="Tahoma"/>
                <w:b/>
                <w:bCs/>
                <w:color w:val="275317" w:themeColor="accent6" w:themeShade="80"/>
                <w:sz w:val="18"/>
                <w:szCs w:val="18"/>
                <w:lang w:val="es"/>
              </w:rPr>
              <w:t>AUDITORÍAS</w:t>
            </w:r>
          </w:p>
        </w:tc>
        <w:tc>
          <w:tcPr>
            <w:tcW w:w="984" w:type="dxa"/>
            <w:shd w:val="clear" w:color="auto" w:fill="C1F0C7"/>
            <w:noWrap/>
            <w:tcMar>
              <w:top w:w="0" w:type="dxa"/>
              <w:left w:w="70" w:type="dxa"/>
              <w:bottom w:w="0" w:type="dxa"/>
              <w:right w:w="70" w:type="dxa"/>
            </w:tcMar>
            <w:vAlign w:val="center"/>
            <w:hideMark/>
          </w:tcPr>
          <w:p w14:paraId="7BFF072A" w14:textId="77777777" w:rsidR="00DE3C06" w:rsidRPr="00422D9A" w:rsidRDefault="00DE3C06" w:rsidP="008A49D0">
            <w:pPr>
              <w:spacing w:after="0" w:line="240" w:lineRule="auto"/>
              <w:jc w:val="center"/>
              <w:rPr>
                <w:rFonts w:eastAsia="Arial" w:cs="Tahoma"/>
                <w:color w:val="275317" w:themeColor="accent6" w:themeShade="80"/>
                <w:sz w:val="18"/>
                <w:szCs w:val="18"/>
                <w:lang w:val="es"/>
              </w:rPr>
            </w:pPr>
            <w:r w:rsidRPr="00422D9A">
              <w:rPr>
                <w:rFonts w:eastAsia="Arial" w:cs="Tahoma"/>
                <w:color w:val="275317" w:themeColor="accent6" w:themeShade="80"/>
                <w:sz w:val="18"/>
                <w:szCs w:val="18"/>
                <w:lang w:val="es"/>
              </w:rPr>
              <w:t>74</w:t>
            </w:r>
          </w:p>
        </w:tc>
        <w:tc>
          <w:tcPr>
            <w:tcW w:w="1003" w:type="dxa"/>
            <w:shd w:val="clear" w:color="auto" w:fill="C1F0C7"/>
            <w:noWrap/>
            <w:tcMar>
              <w:top w:w="0" w:type="dxa"/>
              <w:left w:w="70" w:type="dxa"/>
              <w:bottom w:w="0" w:type="dxa"/>
              <w:right w:w="70" w:type="dxa"/>
            </w:tcMar>
            <w:vAlign w:val="center"/>
            <w:hideMark/>
          </w:tcPr>
          <w:p w14:paraId="01C2C6BB" w14:textId="77777777" w:rsidR="00DE3C06" w:rsidRPr="00422D9A" w:rsidRDefault="00DE3C06" w:rsidP="008A49D0">
            <w:pPr>
              <w:spacing w:after="0" w:line="240" w:lineRule="auto"/>
              <w:jc w:val="center"/>
              <w:rPr>
                <w:rFonts w:eastAsia="Arial" w:cs="Tahoma"/>
                <w:color w:val="275317" w:themeColor="accent6" w:themeShade="80"/>
                <w:sz w:val="18"/>
                <w:szCs w:val="18"/>
                <w:lang w:val="es"/>
              </w:rPr>
            </w:pPr>
            <w:r w:rsidRPr="00422D9A">
              <w:rPr>
                <w:rFonts w:eastAsia="Arial" w:cs="Tahoma"/>
                <w:color w:val="275317" w:themeColor="accent6" w:themeShade="80"/>
                <w:sz w:val="18"/>
                <w:szCs w:val="18"/>
                <w:lang w:val="es"/>
              </w:rPr>
              <w:t>79</w:t>
            </w:r>
          </w:p>
        </w:tc>
        <w:tc>
          <w:tcPr>
            <w:tcW w:w="1254" w:type="dxa"/>
            <w:shd w:val="clear" w:color="auto" w:fill="C1F0C7"/>
            <w:noWrap/>
            <w:tcMar>
              <w:top w:w="0" w:type="dxa"/>
              <w:left w:w="70" w:type="dxa"/>
              <w:bottom w:w="0" w:type="dxa"/>
              <w:right w:w="70" w:type="dxa"/>
            </w:tcMar>
            <w:vAlign w:val="center"/>
            <w:hideMark/>
          </w:tcPr>
          <w:p w14:paraId="284E99C6" w14:textId="77777777" w:rsidR="00DE3C06" w:rsidRPr="00422D9A" w:rsidRDefault="00DE3C06" w:rsidP="008A49D0">
            <w:pPr>
              <w:spacing w:after="0" w:line="240" w:lineRule="auto"/>
              <w:jc w:val="center"/>
              <w:rPr>
                <w:rFonts w:eastAsia="Arial" w:cs="Tahoma"/>
                <w:color w:val="275317" w:themeColor="accent6" w:themeShade="80"/>
                <w:sz w:val="18"/>
                <w:szCs w:val="18"/>
                <w:lang w:val="es"/>
              </w:rPr>
            </w:pPr>
            <w:r w:rsidRPr="00422D9A">
              <w:rPr>
                <w:rFonts w:eastAsia="Arial" w:cs="Tahoma"/>
                <w:color w:val="275317" w:themeColor="accent6" w:themeShade="80"/>
                <w:sz w:val="18"/>
                <w:szCs w:val="18"/>
                <w:lang w:val="es"/>
              </w:rPr>
              <w:t>116</w:t>
            </w:r>
          </w:p>
        </w:tc>
        <w:tc>
          <w:tcPr>
            <w:tcW w:w="1120" w:type="dxa"/>
            <w:shd w:val="clear" w:color="auto" w:fill="C1F0C7"/>
            <w:noWrap/>
            <w:tcMar>
              <w:top w:w="0" w:type="dxa"/>
              <w:left w:w="70" w:type="dxa"/>
              <w:bottom w:w="0" w:type="dxa"/>
              <w:right w:w="70" w:type="dxa"/>
            </w:tcMar>
            <w:vAlign w:val="center"/>
            <w:hideMark/>
          </w:tcPr>
          <w:p w14:paraId="6A6E105B" w14:textId="77777777" w:rsidR="00DE3C06" w:rsidRPr="00422D9A" w:rsidRDefault="00DE3C06" w:rsidP="008A49D0">
            <w:pPr>
              <w:spacing w:after="0" w:line="240" w:lineRule="auto"/>
              <w:jc w:val="center"/>
              <w:rPr>
                <w:rFonts w:eastAsia="Arial" w:cs="Tahoma"/>
                <w:color w:val="275317" w:themeColor="accent6" w:themeShade="80"/>
                <w:sz w:val="18"/>
                <w:szCs w:val="18"/>
                <w:lang w:val="es"/>
              </w:rPr>
            </w:pPr>
            <w:r w:rsidRPr="00422D9A">
              <w:rPr>
                <w:rFonts w:eastAsia="Arial" w:cs="Tahoma"/>
                <w:color w:val="275317" w:themeColor="accent6" w:themeShade="80"/>
                <w:sz w:val="18"/>
                <w:szCs w:val="18"/>
                <w:lang w:val="es"/>
              </w:rPr>
              <w:t>19</w:t>
            </w:r>
          </w:p>
        </w:tc>
        <w:tc>
          <w:tcPr>
            <w:tcW w:w="1175" w:type="dxa"/>
            <w:shd w:val="clear" w:color="auto" w:fill="C1F0C7"/>
            <w:noWrap/>
            <w:tcMar>
              <w:top w:w="0" w:type="dxa"/>
              <w:left w:w="70" w:type="dxa"/>
              <w:bottom w:w="0" w:type="dxa"/>
              <w:right w:w="70" w:type="dxa"/>
            </w:tcMar>
            <w:vAlign w:val="center"/>
            <w:hideMark/>
          </w:tcPr>
          <w:p w14:paraId="1B765238" w14:textId="77777777" w:rsidR="00DE3C06" w:rsidRPr="00422D9A" w:rsidRDefault="00DE3C06" w:rsidP="008A49D0">
            <w:pPr>
              <w:spacing w:after="0" w:line="240" w:lineRule="auto"/>
              <w:jc w:val="center"/>
              <w:rPr>
                <w:rFonts w:eastAsia="Arial" w:cs="Tahoma"/>
                <w:color w:val="275317" w:themeColor="accent6" w:themeShade="80"/>
                <w:sz w:val="18"/>
                <w:szCs w:val="18"/>
                <w:lang w:val="es"/>
              </w:rPr>
            </w:pPr>
            <w:r w:rsidRPr="00422D9A">
              <w:rPr>
                <w:rFonts w:eastAsia="Arial" w:cs="Tahoma"/>
                <w:color w:val="275317" w:themeColor="accent6" w:themeShade="80"/>
                <w:sz w:val="18"/>
                <w:szCs w:val="18"/>
                <w:lang w:val="es"/>
              </w:rPr>
              <w:t>87</w:t>
            </w:r>
          </w:p>
        </w:tc>
        <w:tc>
          <w:tcPr>
            <w:tcW w:w="1245" w:type="dxa"/>
            <w:shd w:val="clear" w:color="auto" w:fill="C1F0C7"/>
            <w:noWrap/>
            <w:tcMar>
              <w:top w:w="0" w:type="dxa"/>
              <w:left w:w="70" w:type="dxa"/>
              <w:bottom w:w="0" w:type="dxa"/>
              <w:right w:w="70" w:type="dxa"/>
            </w:tcMar>
            <w:vAlign w:val="center"/>
            <w:hideMark/>
          </w:tcPr>
          <w:p w14:paraId="253CFC0C" w14:textId="77777777" w:rsidR="00DE3C06" w:rsidRPr="00422D9A" w:rsidRDefault="00DE3C06" w:rsidP="008A49D0">
            <w:pPr>
              <w:spacing w:after="0" w:line="240" w:lineRule="auto"/>
              <w:jc w:val="center"/>
              <w:rPr>
                <w:rFonts w:eastAsia="Arial" w:cs="Tahoma"/>
                <w:color w:val="275317" w:themeColor="accent6" w:themeShade="80"/>
                <w:sz w:val="18"/>
                <w:szCs w:val="18"/>
                <w:lang w:val="es"/>
              </w:rPr>
            </w:pPr>
            <w:r w:rsidRPr="00422D9A">
              <w:rPr>
                <w:rFonts w:eastAsia="Arial" w:cs="Tahoma"/>
                <w:color w:val="275317" w:themeColor="accent6" w:themeShade="80"/>
                <w:sz w:val="18"/>
                <w:szCs w:val="18"/>
                <w:lang w:val="es"/>
              </w:rPr>
              <w:t>10</w:t>
            </w:r>
          </w:p>
        </w:tc>
      </w:tr>
      <w:tr w:rsidR="00DE3C06" w:rsidRPr="000C5171" w14:paraId="5CF4D69B" w14:textId="77777777" w:rsidTr="008A49D0">
        <w:trPr>
          <w:trHeight w:val="357"/>
        </w:trPr>
        <w:tc>
          <w:tcPr>
            <w:tcW w:w="1751" w:type="dxa"/>
            <w:noWrap/>
            <w:tcMar>
              <w:top w:w="0" w:type="dxa"/>
              <w:left w:w="70" w:type="dxa"/>
              <w:bottom w:w="0" w:type="dxa"/>
              <w:right w:w="70" w:type="dxa"/>
            </w:tcMar>
            <w:vAlign w:val="center"/>
            <w:hideMark/>
          </w:tcPr>
          <w:p w14:paraId="5F4CAA7D" w14:textId="77777777" w:rsidR="00DE3C06" w:rsidRPr="00422D9A" w:rsidRDefault="00DE3C06" w:rsidP="008A49D0">
            <w:pPr>
              <w:spacing w:after="0" w:line="240" w:lineRule="auto"/>
              <w:ind w:left="180" w:hanging="90"/>
              <w:jc w:val="center"/>
              <w:rPr>
                <w:rFonts w:eastAsia="Nunito" w:cs="Tahoma"/>
                <w:b/>
                <w:bCs/>
                <w:color w:val="275317" w:themeColor="accent6" w:themeShade="80"/>
                <w:sz w:val="18"/>
                <w:szCs w:val="18"/>
                <w:lang w:val="es"/>
              </w:rPr>
            </w:pPr>
            <w:r w:rsidRPr="00422D9A">
              <w:rPr>
                <w:rFonts w:eastAsia="Nunito" w:cs="Tahoma"/>
                <w:b/>
                <w:bCs/>
                <w:color w:val="275317" w:themeColor="accent6" w:themeShade="80"/>
                <w:sz w:val="18"/>
                <w:szCs w:val="18"/>
                <w:lang w:val="es"/>
              </w:rPr>
              <w:t>SEGUIMIENTOS</w:t>
            </w:r>
          </w:p>
        </w:tc>
        <w:tc>
          <w:tcPr>
            <w:tcW w:w="984" w:type="dxa"/>
            <w:noWrap/>
            <w:tcMar>
              <w:top w:w="0" w:type="dxa"/>
              <w:left w:w="70" w:type="dxa"/>
              <w:bottom w:w="0" w:type="dxa"/>
              <w:right w:w="70" w:type="dxa"/>
            </w:tcMar>
            <w:vAlign w:val="center"/>
            <w:hideMark/>
          </w:tcPr>
          <w:p w14:paraId="1B355BAC" w14:textId="77777777" w:rsidR="00DE3C06" w:rsidRPr="00422D9A" w:rsidRDefault="00DE3C06" w:rsidP="008A49D0">
            <w:pPr>
              <w:spacing w:after="0" w:line="240" w:lineRule="auto"/>
              <w:jc w:val="center"/>
              <w:rPr>
                <w:rFonts w:eastAsia="Arial" w:cs="Tahoma"/>
                <w:color w:val="275317" w:themeColor="accent6" w:themeShade="80"/>
                <w:sz w:val="18"/>
                <w:szCs w:val="18"/>
                <w:lang w:val="es"/>
              </w:rPr>
            </w:pPr>
            <w:r w:rsidRPr="00422D9A">
              <w:rPr>
                <w:rFonts w:eastAsia="Arial" w:cs="Tahoma"/>
                <w:color w:val="275317" w:themeColor="accent6" w:themeShade="80"/>
                <w:sz w:val="18"/>
                <w:szCs w:val="18"/>
                <w:lang w:val="es"/>
              </w:rPr>
              <w:t>35</w:t>
            </w:r>
          </w:p>
        </w:tc>
        <w:tc>
          <w:tcPr>
            <w:tcW w:w="1003" w:type="dxa"/>
            <w:noWrap/>
            <w:tcMar>
              <w:top w:w="0" w:type="dxa"/>
              <w:left w:w="70" w:type="dxa"/>
              <w:bottom w:w="0" w:type="dxa"/>
              <w:right w:w="70" w:type="dxa"/>
            </w:tcMar>
            <w:vAlign w:val="center"/>
            <w:hideMark/>
          </w:tcPr>
          <w:p w14:paraId="690A9C4A" w14:textId="77777777" w:rsidR="00DE3C06" w:rsidRPr="00422D9A" w:rsidRDefault="00DE3C06" w:rsidP="008A49D0">
            <w:pPr>
              <w:spacing w:after="0" w:line="240" w:lineRule="auto"/>
              <w:jc w:val="center"/>
              <w:rPr>
                <w:rFonts w:eastAsia="Arial" w:cs="Tahoma"/>
                <w:color w:val="275317" w:themeColor="accent6" w:themeShade="80"/>
                <w:sz w:val="18"/>
                <w:szCs w:val="18"/>
                <w:lang w:val="es"/>
              </w:rPr>
            </w:pPr>
            <w:r w:rsidRPr="00422D9A">
              <w:rPr>
                <w:rFonts w:eastAsia="Arial" w:cs="Tahoma"/>
                <w:color w:val="275317" w:themeColor="accent6" w:themeShade="80"/>
                <w:sz w:val="18"/>
                <w:szCs w:val="18"/>
                <w:lang w:val="es"/>
              </w:rPr>
              <w:t>42</w:t>
            </w:r>
          </w:p>
        </w:tc>
        <w:tc>
          <w:tcPr>
            <w:tcW w:w="1254" w:type="dxa"/>
            <w:noWrap/>
            <w:tcMar>
              <w:top w:w="0" w:type="dxa"/>
              <w:left w:w="70" w:type="dxa"/>
              <w:bottom w:w="0" w:type="dxa"/>
              <w:right w:w="70" w:type="dxa"/>
            </w:tcMar>
            <w:vAlign w:val="center"/>
            <w:hideMark/>
          </w:tcPr>
          <w:p w14:paraId="571AB5AC" w14:textId="77777777" w:rsidR="00DE3C06" w:rsidRPr="00422D9A" w:rsidRDefault="00DE3C06" w:rsidP="008A49D0">
            <w:pPr>
              <w:spacing w:after="0" w:line="240" w:lineRule="auto"/>
              <w:jc w:val="center"/>
              <w:rPr>
                <w:rFonts w:eastAsia="Arial" w:cs="Tahoma"/>
                <w:color w:val="275317" w:themeColor="accent6" w:themeShade="80"/>
                <w:sz w:val="18"/>
                <w:szCs w:val="18"/>
                <w:lang w:val="es"/>
              </w:rPr>
            </w:pPr>
            <w:r w:rsidRPr="00422D9A">
              <w:rPr>
                <w:rFonts w:eastAsia="Arial" w:cs="Tahoma"/>
                <w:color w:val="275317" w:themeColor="accent6" w:themeShade="80"/>
                <w:sz w:val="18"/>
                <w:szCs w:val="18"/>
                <w:lang w:val="es"/>
              </w:rPr>
              <w:t>57</w:t>
            </w:r>
          </w:p>
        </w:tc>
        <w:tc>
          <w:tcPr>
            <w:tcW w:w="1120" w:type="dxa"/>
            <w:noWrap/>
            <w:tcMar>
              <w:top w:w="0" w:type="dxa"/>
              <w:left w:w="70" w:type="dxa"/>
              <w:bottom w:w="0" w:type="dxa"/>
              <w:right w:w="70" w:type="dxa"/>
            </w:tcMar>
            <w:vAlign w:val="center"/>
            <w:hideMark/>
          </w:tcPr>
          <w:p w14:paraId="36B86BD0" w14:textId="77777777" w:rsidR="00DE3C06" w:rsidRPr="00422D9A" w:rsidRDefault="00DE3C06" w:rsidP="008A49D0">
            <w:pPr>
              <w:spacing w:after="0" w:line="240" w:lineRule="auto"/>
              <w:jc w:val="center"/>
              <w:rPr>
                <w:rFonts w:eastAsia="Arial" w:cs="Tahoma"/>
                <w:color w:val="275317" w:themeColor="accent6" w:themeShade="80"/>
                <w:sz w:val="18"/>
                <w:szCs w:val="18"/>
                <w:lang w:val="es"/>
              </w:rPr>
            </w:pPr>
            <w:r w:rsidRPr="00422D9A">
              <w:rPr>
                <w:rFonts w:eastAsia="Arial" w:cs="Tahoma"/>
                <w:color w:val="275317" w:themeColor="accent6" w:themeShade="80"/>
                <w:sz w:val="18"/>
                <w:szCs w:val="18"/>
                <w:lang w:val="es"/>
              </w:rPr>
              <w:t>31</w:t>
            </w:r>
          </w:p>
        </w:tc>
        <w:tc>
          <w:tcPr>
            <w:tcW w:w="1175" w:type="dxa"/>
            <w:noWrap/>
            <w:tcMar>
              <w:top w:w="0" w:type="dxa"/>
              <w:left w:w="70" w:type="dxa"/>
              <w:bottom w:w="0" w:type="dxa"/>
              <w:right w:w="70" w:type="dxa"/>
            </w:tcMar>
            <w:vAlign w:val="center"/>
            <w:hideMark/>
          </w:tcPr>
          <w:p w14:paraId="5C0CECB8" w14:textId="77777777" w:rsidR="00DE3C06" w:rsidRPr="00422D9A" w:rsidRDefault="00DE3C06" w:rsidP="008A49D0">
            <w:pPr>
              <w:spacing w:after="0" w:line="240" w:lineRule="auto"/>
              <w:jc w:val="center"/>
              <w:rPr>
                <w:rFonts w:eastAsia="Arial" w:cs="Tahoma"/>
                <w:color w:val="275317" w:themeColor="accent6" w:themeShade="80"/>
                <w:sz w:val="18"/>
                <w:szCs w:val="18"/>
                <w:lang w:val="es"/>
              </w:rPr>
            </w:pPr>
            <w:r w:rsidRPr="00422D9A">
              <w:rPr>
                <w:rFonts w:eastAsia="Arial" w:cs="Tahoma"/>
                <w:color w:val="275317" w:themeColor="accent6" w:themeShade="80"/>
                <w:sz w:val="18"/>
                <w:szCs w:val="18"/>
                <w:lang w:val="es"/>
              </w:rPr>
              <w:t>26</w:t>
            </w:r>
          </w:p>
        </w:tc>
        <w:tc>
          <w:tcPr>
            <w:tcW w:w="1245" w:type="dxa"/>
            <w:noWrap/>
            <w:tcMar>
              <w:top w:w="0" w:type="dxa"/>
              <w:left w:w="70" w:type="dxa"/>
              <w:bottom w:w="0" w:type="dxa"/>
              <w:right w:w="70" w:type="dxa"/>
            </w:tcMar>
            <w:vAlign w:val="center"/>
            <w:hideMark/>
          </w:tcPr>
          <w:p w14:paraId="76E226BB" w14:textId="77777777" w:rsidR="00DE3C06" w:rsidRPr="00422D9A" w:rsidRDefault="00DE3C06" w:rsidP="008A49D0">
            <w:pPr>
              <w:spacing w:after="0" w:line="240" w:lineRule="auto"/>
              <w:jc w:val="center"/>
              <w:rPr>
                <w:rFonts w:eastAsia="Arial" w:cs="Tahoma"/>
                <w:color w:val="275317" w:themeColor="accent6" w:themeShade="80"/>
                <w:sz w:val="18"/>
                <w:szCs w:val="18"/>
              </w:rPr>
            </w:pPr>
            <w:r w:rsidRPr="00422D9A">
              <w:rPr>
                <w:rFonts w:eastAsia="Arial" w:cs="Tahoma"/>
                <w:color w:val="275317" w:themeColor="accent6" w:themeShade="80"/>
                <w:sz w:val="18"/>
                <w:szCs w:val="18"/>
              </w:rPr>
              <w:t>0</w:t>
            </w:r>
          </w:p>
        </w:tc>
      </w:tr>
      <w:tr w:rsidR="00DE3C06" w:rsidRPr="000C5171" w14:paraId="182655C4" w14:textId="77777777" w:rsidTr="008A49D0">
        <w:trPr>
          <w:trHeight w:val="357"/>
        </w:trPr>
        <w:tc>
          <w:tcPr>
            <w:tcW w:w="1751" w:type="dxa"/>
            <w:shd w:val="clear" w:color="auto" w:fill="C1F0C7"/>
            <w:noWrap/>
            <w:tcMar>
              <w:top w:w="0" w:type="dxa"/>
              <w:left w:w="70" w:type="dxa"/>
              <w:bottom w:w="0" w:type="dxa"/>
              <w:right w:w="70" w:type="dxa"/>
            </w:tcMar>
            <w:vAlign w:val="center"/>
            <w:hideMark/>
          </w:tcPr>
          <w:p w14:paraId="37D9F01F" w14:textId="77777777" w:rsidR="00DE3C06" w:rsidRPr="00422D9A" w:rsidRDefault="00DE3C06" w:rsidP="008A49D0">
            <w:pPr>
              <w:spacing w:after="0" w:line="240" w:lineRule="auto"/>
              <w:ind w:left="180" w:hanging="90"/>
              <w:jc w:val="center"/>
              <w:rPr>
                <w:rFonts w:eastAsia="Nunito" w:cs="Tahoma"/>
                <w:b/>
                <w:bCs/>
                <w:color w:val="275317" w:themeColor="accent6" w:themeShade="80"/>
                <w:sz w:val="18"/>
                <w:szCs w:val="18"/>
                <w:lang w:val="es"/>
              </w:rPr>
            </w:pPr>
            <w:r w:rsidRPr="00422D9A">
              <w:rPr>
                <w:rFonts w:eastAsia="Nunito" w:cs="Tahoma"/>
                <w:b/>
                <w:bCs/>
                <w:color w:val="275317" w:themeColor="accent6" w:themeShade="80"/>
                <w:sz w:val="18"/>
                <w:szCs w:val="18"/>
                <w:lang w:val="es"/>
              </w:rPr>
              <w:t>TOTAL</w:t>
            </w:r>
          </w:p>
        </w:tc>
        <w:tc>
          <w:tcPr>
            <w:tcW w:w="984" w:type="dxa"/>
            <w:shd w:val="clear" w:color="auto" w:fill="C1F0C7"/>
            <w:noWrap/>
            <w:tcMar>
              <w:top w:w="0" w:type="dxa"/>
              <w:left w:w="70" w:type="dxa"/>
              <w:bottom w:w="0" w:type="dxa"/>
              <w:right w:w="70" w:type="dxa"/>
            </w:tcMar>
            <w:vAlign w:val="center"/>
            <w:hideMark/>
          </w:tcPr>
          <w:p w14:paraId="3EDD99BF" w14:textId="77777777" w:rsidR="00DE3C06" w:rsidRPr="00422D9A" w:rsidRDefault="00DE3C06" w:rsidP="008A49D0">
            <w:pPr>
              <w:spacing w:after="0" w:line="240" w:lineRule="auto"/>
              <w:jc w:val="center"/>
              <w:rPr>
                <w:rFonts w:eastAsia="Arial" w:cs="Tahoma"/>
                <w:b/>
                <w:bCs/>
                <w:color w:val="275317" w:themeColor="accent6" w:themeShade="80"/>
                <w:sz w:val="18"/>
                <w:szCs w:val="18"/>
                <w:lang w:val="es"/>
              </w:rPr>
            </w:pPr>
            <w:r w:rsidRPr="00422D9A">
              <w:rPr>
                <w:rFonts w:eastAsia="Arial" w:cs="Tahoma"/>
                <w:b/>
                <w:bCs/>
                <w:color w:val="275317" w:themeColor="accent6" w:themeShade="80"/>
                <w:sz w:val="18"/>
                <w:szCs w:val="18"/>
                <w:lang w:val="es"/>
              </w:rPr>
              <w:t>109</w:t>
            </w:r>
          </w:p>
        </w:tc>
        <w:tc>
          <w:tcPr>
            <w:tcW w:w="1003" w:type="dxa"/>
            <w:shd w:val="clear" w:color="auto" w:fill="C1F0C7"/>
            <w:noWrap/>
            <w:tcMar>
              <w:top w:w="0" w:type="dxa"/>
              <w:left w:w="70" w:type="dxa"/>
              <w:bottom w:w="0" w:type="dxa"/>
              <w:right w:w="70" w:type="dxa"/>
            </w:tcMar>
            <w:vAlign w:val="center"/>
            <w:hideMark/>
          </w:tcPr>
          <w:p w14:paraId="56600EF9" w14:textId="77777777" w:rsidR="00DE3C06" w:rsidRPr="00422D9A" w:rsidRDefault="00DE3C06" w:rsidP="008A49D0">
            <w:pPr>
              <w:spacing w:after="0" w:line="240" w:lineRule="auto"/>
              <w:jc w:val="center"/>
              <w:rPr>
                <w:rFonts w:eastAsia="Arial" w:cs="Tahoma"/>
                <w:b/>
                <w:bCs/>
                <w:color w:val="275317" w:themeColor="accent6" w:themeShade="80"/>
                <w:sz w:val="18"/>
                <w:szCs w:val="18"/>
                <w:lang w:val="es"/>
              </w:rPr>
            </w:pPr>
            <w:r w:rsidRPr="00422D9A">
              <w:rPr>
                <w:rFonts w:eastAsia="Arial" w:cs="Tahoma"/>
                <w:b/>
                <w:bCs/>
                <w:color w:val="275317" w:themeColor="accent6" w:themeShade="80"/>
                <w:sz w:val="18"/>
                <w:szCs w:val="18"/>
                <w:lang w:val="es"/>
              </w:rPr>
              <w:t>121</w:t>
            </w:r>
          </w:p>
        </w:tc>
        <w:tc>
          <w:tcPr>
            <w:tcW w:w="1254" w:type="dxa"/>
            <w:shd w:val="clear" w:color="auto" w:fill="C1F0C7"/>
            <w:noWrap/>
            <w:tcMar>
              <w:top w:w="0" w:type="dxa"/>
              <w:left w:w="70" w:type="dxa"/>
              <w:bottom w:w="0" w:type="dxa"/>
              <w:right w:w="70" w:type="dxa"/>
            </w:tcMar>
            <w:vAlign w:val="center"/>
            <w:hideMark/>
          </w:tcPr>
          <w:p w14:paraId="3E2B5773" w14:textId="77777777" w:rsidR="00DE3C06" w:rsidRPr="00422D9A" w:rsidRDefault="00DE3C06" w:rsidP="008A49D0">
            <w:pPr>
              <w:spacing w:after="0" w:line="240" w:lineRule="auto"/>
              <w:jc w:val="center"/>
              <w:rPr>
                <w:rFonts w:eastAsia="Arial" w:cs="Tahoma"/>
                <w:b/>
                <w:bCs/>
                <w:color w:val="275317" w:themeColor="accent6" w:themeShade="80"/>
                <w:sz w:val="18"/>
                <w:szCs w:val="18"/>
                <w:lang w:val="es"/>
              </w:rPr>
            </w:pPr>
            <w:r w:rsidRPr="00422D9A">
              <w:rPr>
                <w:rFonts w:eastAsia="Arial" w:cs="Tahoma"/>
                <w:b/>
                <w:bCs/>
                <w:color w:val="275317" w:themeColor="accent6" w:themeShade="80"/>
                <w:sz w:val="18"/>
                <w:szCs w:val="18"/>
                <w:lang w:val="es"/>
              </w:rPr>
              <w:t>173</w:t>
            </w:r>
          </w:p>
        </w:tc>
        <w:tc>
          <w:tcPr>
            <w:tcW w:w="1120" w:type="dxa"/>
            <w:shd w:val="clear" w:color="auto" w:fill="C1F0C7"/>
            <w:noWrap/>
            <w:tcMar>
              <w:top w:w="0" w:type="dxa"/>
              <w:left w:w="70" w:type="dxa"/>
              <w:bottom w:w="0" w:type="dxa"/>
              <w:right w:w="70" w:type="dxa"/>
            </w:tcMar>
            <w:vAlign w:val="center"/>
            <w:hideMark/>
          </w:tcPr>
          <w:p w14:paraId="1FC6AD52" w14:textId="77777777" w:rsidR="00DE3C06" w:rsidRPr="00422D9A" w:rsidRDefault="00DE3C06" w:rsidP="008A49D0">
            <w:pPr>
              <w:spacing w:after="0" w:line="240" w:lineRule="auto"/>
              <w:jc w:val="center"/>
              <w:rPr>
                <w:rFonts w:eastAsia="Arial" w:cs="Tahoma"/>
                <w:b/>
                <w:bCs/>
                <w:color w:val="275317" w:themeColor="accent6" w:themeShade="80"/>
                <w:sz w:val="18"/>
                <w:szCs w:val="18"/>
                <w:lang w:val="es"/>
              </w:rPr>
            </w:pPr>
            <w:r w:rsidRPr="00422D9A">
              <w:rPr>
                <w:rFonts w:eastAsia="Arial" w:cs="Tahoma"/>
                <w:b/>
                <w:bCs/>
                <w:color w:val="275317" w:themeColor="accent6" w:themeShade="80"/>
                <w:sz w:val="18"/>
                <w:szCs w:val="18"/>
                <w:lang w:val="es"/>
              </w:rPr>
              <w:t>50</w:t>
            </w:r>
          </w:p>
        </w:tc>
        <w:tc>
          <w:tcPr>
            <w:tcW w:w="1175" w:type="dxa"/>
            <w:shd w:val="clear" w:color="auto" w:fill="C1F0C7"/>
            <w:noWrap/>
            <w:tcMar>
              <w:top w:w="0" w:type="dxa"/>
              <w:left w:w="70" w:type="dxa"/>
              <w:bottom w:w="0" w:type="dxa"/>
              <w:right w:w="70" w:type="dxa"/>
            </w:tcMar>
            <w:vAlign w:val="center"/>
            <w:hideMark/>
          </w:tcPr>
          <w:p w14:paraId="23F3F4C3" w14:textId="77777777" w:rsidR="00DE3C06" w:rsidRPr="00422D9A" w:rsidRDefault="00DE3C06" w:rsidP="008A49D0">
            <w:pPr>
              <w:spacing w:after="0" w:line="240" w:lineRule="auto"/>
              <w:jc w:val="center"/>
              <w:rPr>
                <w:rFonts w:eastAsia="Arial" w:cs="Tahoma"/>
                <w:b/>
                <w:bCs/>
                <w:color w:val="275317" w:themeColor="accent6" w:themeShade="80"/>
                <w:sz w:val="18"/>
                <w:szCs w:val="18"/>
                <w:lang w:val="es"/>
              </w:rPr>
            </w:pPr>
            <w:r w:rsidRPr="00422D9A">
              <w:rPr>
                <w:rFonts w:eastAsia="Arial" w:cs="Tahoma"/>
                <w:b/>
                <w:bCs/>
                <w:color w:val="275317" w:themeColor="accent6" w:themeShade="80"/>
                <w:sz w:val="18"/>
                <w:szCs w:val="18"/>
                <w:lang w:val="es"/>
              </w:rPr>
              <w:t>113</w:t>
            </w:r>
          </w:p>
        </w:tc>
        <w:tc>
          <w:tcPr>
            <w:tcW w:w="1245" w:type="dxa"/>
            <w:shd w:val="clear" w:color="auto" w:fill="C1F0C7"/>
            <w:noWrap/>
            <w:tcMar>
              <w:top w:w="0" w:type="dxa"/>
              <w:left w:w="70" w:type="dxa"/>
              <w:bottom w:w="0" w:type="dxa"/>
              <w:right w:w="70" w:type="dxa"/>
            </w:tcMar>
            <w:vAlign w:val="center"/>
            <w:hideMark/>
          </w:tcPr>
          <w:p w14:paraId="6101ABBD" w14:textId="77777777" w:rsidR="00DE3C06" w:rsidRPr="00422D9A" w:rsidRDefault="00DE3C06" w:rsidP="008A49D0">
            <w:pPr>
              <w:spacing w:after="0" w:line="240" w:lineRule="auto"/>
              <w:jc w:val="center"/>
              <w:rPr>
                <w:rFonts w:eastAsia="Arial" w:cs="Tahoma"/>
                <w:b/>
                <w:bCs/>
                <w:color w:val="275317" w:themeColor="accent6" w:themeShade="80"/>
                <w:sz w:val="18"/>
                <w:szCs w:val="18"/>
                <w:lang w:val="es"/>
              </w:rPr>
            </w:pPr>
            <w:r w:rsidRPr="00422D9A">
              <w:rPr>
                <w:rFonts w:eastAsia="Arial" w:cs="Tahoma"/>
                <w:b/>
                <w:bCs/>
                <w:color w:val="275317" w:themeColor="accent6" w:themeShade="80"/>
                <w:sz w:val="18"/>
                <w:szCs w:val="18"/>
                <w:lang w:val="es"/>
              </w:rPr>
              <w:t>10</w:t>
            </w:r>
          </w:p>
        </w:tc>
      </w:tr>
    </w:tbl>
    <w:p w14:paraId="11B50D75" w14:textId="77777777" w:rsidR="00DE3C06" w:rsidRPr="000C5171" w:rsidRDefault="00DE3C06" w:rsidP="00DE3C06">
      <w:pPr>
        <w:spacing w:after="0" w:line="276" w:lineRule="auto"/>
        <w:ind w:left="142" w:firstLine="708"/>
        <w:jc w:val="center"/>
        <w:rPr>
          <w:rFonts w:cs="Tahoma"/>
          <w:sz w:val="18"/>
          <w:szCs w:val="18"/>
        </w:rPr>
      </w:pPr>
      <w:r w:rsidRPr="000C5171">
        <w:rPr>
          <w:rFonts w:cs="Tahoma"/>
          <w:sz w:val="18"/>
          <w:szCs w:val="18"/>
        </w:rPr>
        <w:t>Fuente ART: Elaboración Propia 2025</w:t>
      </w:r>
    </w:p>
    <w:p w14:paraId="69D1FF64" w14:textId="77777777" w:rsidR="00DE3C06" w:rsidRPr="000C5171" w:rsidRDefault="00DE3C06" w:rsidP="00DE3C06">
      <w:pPr>
        <w:spacing w:line="276" w:lineRule="auto"/>
        <w:rPr>
          <w:rFonts w:cs="Tahoma"/>
          <w:color w:val="124F1A" w:themeColor="accent3" w:themeShade="BF"/>
          <w:sz w:val="22"/>
          <w:szCs w:val="22"/>
        </w:rPr>
      </w:pPr>
    </w:p>
    <w:p w14:paraId="383FA0E1" w14:textId="77777777" w:rsidR="00DE3C06" w:rsidRPr="000C5171" w:rsidRDefault="00DE3C06" w:rsidP="00DE3C06">
      <w:pPr>
        <w:pStyle w:val="Ttulo1"/>
        <w:spacing w:line="276" w:lineRule="auto"/>
        <w:rPr>
          <w:rFonts w:cs="Tahoma"/>
          <w:color w:val="0070C0"/>
        </w:rPr>
      </w:pPr>
      <w:bookmarkStart w:id="54" w:name="_Toc234168114"/>
      <w:r w:rsidRPr="000C5171">
        <w:rPr>
          <w:rFonts w:cs="Tahoma"/>
          <w:color w:val="0070C0"/>
        </w:rPr>
        <w:lastRenderedPageBreak/>
        <w:t>10.4   Planes de mejoramiento</w:t>
      </w:r>
      <w:bookmarkEnd w:id="54"/>
      <w:r w:rsidRPr="000C5171">
        <w:rPr>
          <w:rFonts w:cs="Tahoma"/>
          <w:color w:val="0070C0"/>
        </w:rPr>
        <w:tab/>
      </w:r>
    </w:p>
    <w:p w14:paraId="7C0BB3BF" w14:textId="77777777" w:rsidR="00DE3C06" w:rsidRPr="000C5171" w:rsidRDefault="00DE3C06" w:rsidP="00DE3C06">
      <w:pPr>
        <w:spacing w:line="276" w:lineRule="auto"/>
        <w:jc w:val="both"/>
        <w:rPr>
          <w:rFonts w:cs="Tahoma"/>
          <w:sz w:val="22"/>
          <w:szCs w:val="22"/>
        </w:rPr>
      </w:pPr>
      <w:r w:rsidRPr="000C5171">
        <w:rPr>
          <w:rFonts w:cs="Tahoma"/>
          <w:sz w:val="22"/>
          <w:szCs w:val="22"/>
        </w:rPr>
        <w:t xml:space="preserve">El estado de los planes de mejoramiento suscritos por la ART con la Contraloría General de la Republica con corte al 31 de diciembre de 2025, se referencia en el </w:t>
      </w:r>
      <w:r w:rsidRPr="007E166F">
        <w:rPr>
          <w:rFonts w:cs="Tahoma"/>
          <w:b/>
          <w:bCs/>
          <w:sz w:val="22"/>
          <w:szCs w:val="22"/>
        </w:rPr>
        <w:t>ANEXO</w:t>
      </w:r>
      <w:r w:rsidRPr="000C5171">
        <w:rPr>
          <w:rFonts w:cs="Tahoma"/>
          <w:sz w:val="22"/>
          <w:szCs w:val="22"/>
        </w:rPr>
        <w:t xml:space="preserve"> 32 Plan de Mejoramiento institucional CGR Consolidado enero 2026.</w:t>
      </w:r>
    </w:p>
    <w:p w14:paraId="67FBA8AF" w14:textId="77777777" w:rsidR="00DE3C06" w:rsidRPr="000C5171" w:rsidRDefault="00DE3C06" w:rsidP="00DE3C06">
      <w:pPr>
        <w:spacing w:line="276" w:lineRule="auto"/>
        <w:jc w:val="center"/>
        <w:rPr>
          <w:rFonts w:cs="Arial"/>
          <w:b/>
          <w:bCs/>
          <w:sz w:val="22"/>
          <w:szCs w:val="22"/>
        </w:rPr>
      </w:pPr>
      <w:r w:rsidRPr="000C5171">
        <w:rPr>
          <w:rFonts w:cs="Arial"/>
          <w:b/>
          <w:bCs/>
          <w:sz w:val="22"/>
          <w:szCs w:val="22"/>
        </w:rPr>
        <w:t>TABLA 20</w:t>
      </w:r>
      <w:r w:rsidRPr="000C5171">
        <w:rPr>
          <w:rFonts w:cs="Arial"/>
          <w:sz w:val="22"/>
          <w:szCs w:val="22"/>
        </w:rPr>
        <w:t>. Planes de mejoramiento</w:t>
      </w:r>
    </w:p>
    <w:tbl>
      <w:tblPr>
        <w:tblW w:w="9356" w:type="dxa"/>
        <w:tblInd w:w="-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381"/>
        <w:gridCol w:w="945"/>
        <w:gridCol w:w="1103"/>
        <w:gridCol w:w="945"/>
        <w:gridCol w:w="1103"/>
        <w:gridCol w:w="945"/>
        <w:gridCol w:w="1122"/>
        <w:gridCol w:w="1812"/>
      </w:tblGrid>
      <w:tr w:rsidR="00DE3C06" w:rsidRPr="000C5171" w14:paraId="78996B4B" w14:textId="77777777" w:rsidTr="008A49D0">
        <w:trPr>
          <w:trHeight w:val="1070"/>
        </w:trPr>
        <w:tc>
          <w:tcPr>
            <w:tcW w:w="1332" w:type="dxa"/>
            <w:tcMar>
              <w:left w:w="70" w:type="dxa"/>
              <w:right w:w="70" w:type="dxa"/>
            </w:tcMar>
            <w:vAlign w:val="center"/>
          </w:tcPr>
          <w:p w14:paraId="3C833CFB" w14:textId="77777777" w:rsidR="00DE3C06" w:rsidRPr="00422D9A" w:rsidRDefault="00DE3C06" w:rsidP="008A49D0">
            <w:pPr>
              <w:spacing w:after="0" w:line="276" w:lineRule="auto"/>
              <w:jc w:val="center"/>
              <w:rPr>
                <w:rFonts w:eastAsia="Calibri" w:cs="Tahoma"/>
                <w:b/>
                <w:bCs/>
                <w:color w:val="275317" w:themeColor="accent6" w:themeShade="80"/>
                <w:sz w:val="18"/>
                <w:szCs w:val="18"/>
              </w:rPr>
            </w:pPr>
            <w:r w:rsidRPr="00422D9A">
              <w:rPr>
                <w:rFonts w:eastAsia="Calibri" w:cs="Tahoma"/>
                <w:b/>
                <w:bCs/>
                <w:color w:val="275317" w:themeColor="accent6" w:themeShade="80"/>
                <w:sz w:val="18"/>
                <w:szCs w:val="18"/>
              </w:rPr>
              <w:t>Plan de Mejoramiento CGR- ART</w:t>
            </w:r>
          </w:p>
        </w:tc>
        <w:tc>
          <w:tcPr>
            <w:tcW w:w="906" w:type="dxa"/>
            <w:tcMar>
              <w:left w:w="70" w:type="dxa"/>
              <w:right w:w="70" w:type="dxa"/>
            </w:tcMar>
            <w:vAlign w:val="center"/>
          </w:tcPr>
          <w:p w14:paraId="11C7493F" w14:textId="77777777" w:rsidR="00DE3C06" w:rsidRPr="00422D9A" w:rsidRDefault="00DE3C06" w:rsidP="008A49D0">
            <w:pPr>
              <w:spacing w:after="0" w:line="276" w:lineRule="auto"/>
              <w:jc w:val="center"/>
              <w:rPr>
                <w:rFonts w:eastAsia="Calibri" w:cs="Tahoma"/>
                <w:b/>
                <w:bCs/>
                <w:color w:val="275317" w:themeColor="accent6" w:themeShade="80"/>
                <w:sz w:val="18"/>
                <w:szCs w:val="18"/>
              </w:rPr>
            </w:pPr>
            <w:r w:rsidRPr="00422D9A">
              <w:rPr>
                <w:rFonts w:eastAsia="Calibri" w:cs="Tahoma"/>
                <w:b/>
                <w:bCs/>
                <w:color w:val="275317" w:themeColor="accent6" w:themeShade="80"/>
                <w:sz w:val="18"/>
                <w:szCs w:val="18"/>
              </w:rPr>
              <w:t xml:space="preserve"> # Hallazgos </w:t>
            </w:r>
          </w:p>
        </w:tc>
        <w:tc>
          <w:tcPr>
            <w:tcW w:w="1005" w:type="dxa"/>
            <w:tcMar>
              <w:left w:w="70" w:type="dxa"/>
              <w:right w:w="70" w:type="dxa"/>
            </w:tcMar>
            <w:vAlign w:val="center"/>
          </w:tcPr>
          <w:p w14:paraId="2551A41F" w14:textId="77777777" w:rsidR="00DE3C06" w:rsidRPr="00422D9A" w:rsidRDefault="00DE3C06" w:rsidP="008A49D0">
            <w:pPr>
              <w:spacing w:after="0" w:line="276" w:lineRule="auto"/>
              <w:jc w:val="center"/>
              <w:rPr>
                <w:rFonts w:eastAsia="Calibri" w:cs="Tahoma"/>
                <w:b/>
                <w:bCs/>
                <w:color w:val="275317" w:themeColor="accent6" w:themeShade="80"/>
                <w:sz w:val="18"/>
                <w:szCs w:val="18"/>
              </w:rPr>
            </w:pPr>
            <w:r w:rsidRPr="00422D9A">
              <w:rPr>
                <w:rFonts w:eastAsia="Calibri" w:cs="Tahoma"/>
                <w:b/>
                <w:bCs/>
                <w:color w:val="275317" w:themeColor="accent6" w:themeShade="80"/>
                <w:sz w:val="18"/>
                <w:szCs w:val="18"/>
              </w:rPr>
              <w:t xml:space="preserve">Actividades </w:t>
            </w:r>
          </w:p>
        </w:tc>
        <w:tc>
          <w:tcPr>
            <w:tcW w:w="854" w:type="dxa"/>
            <w:tcMar>
              <w:left w:w="70" w:type="dxa"/>
              <w:right w:w="70" w:type="dxa"/>
            </w:tcMar>
            <w:vAlign w:val="center"/>
          </w:tcPr>
          <w:p w14:paraId="4811EF82" w14:textId="77777777" w:rsidR="00DE3C06" w:rsidRPr="00422D9A" w:rsidRDefault="00DE3C06" w:rsidP="008A49D0">
            <w:pPr>
              <w:spacing w:after="0" w:line="276" w:lineRule="auto"/>
              <w:jc w:val="center"/>
              <w:rPr>
                <w:rFonts w:eastAsia="Calibri" w:cs="Tahoma"/>
                <w:b/>
                <w:bCs/>
                <w:color w:val="275317" w:themeColor="accent6" w:themeShade="80"/>
                <w:sz w:val="18"/>
                <w:szCs w:val="18"/>
              </w:rPr>
            </w:pPr>
            <w:r w:rsidRPr="00422D9A">
              <w:rPr>
                <w:rFonts w:eastAsia="Calibri" w:cs="Tahoma"/>
                <w:b/>
                <w:bCs/>
                <w:color w:val="275317" w:themeColor="accent6" w:themeShade="80"/>
                <w:sz w:val="18"/>
                <w:szCs w:val="18"/>
              </w:rPr>
              <w:t xml:space="preserve">Hallazgos cerrados </w:t>
            </w:r>
          </w:p>
        </w:tc>
        <w:tc>
          <w:tcPr>
            <w:tcW w:w="1005" w:type="dxa"/>
            <w:tcMar>
              <w:left w:w="70" w:type="dxa"/>
              <w:right w:w="70" w:type="dxa"/>
            </w:tcMar>
            <w:vAlign w:val="center"/>
          </w:tcPr>
          <w:p w14:paraId="731E3B8B" w14:textId="77777777" w:rsidR="00DE3C06" w:rsidRPr="00422D9A" w:rsidRDefault="00DE3C06" w:rsidP="008A49D0">
            <w:pPr>
              <w:spacing w:after="0" w:line="276" w:lineRule="auto"/>
              <w:jc w:val="center"/>
              <w:rPr>
                <w:rFonts w:eastAsia="Calibri" w:cs="Tahoma"/>
                <w:b/>
                <w:bCs/>
                <w:color w:val="275317" w:themeColor="accent6" w:themeShade="80"/>
                <w:sz w:val="18"/>
                <w:szCs w:val="18"/>
              </w:rPr>
            </w:pPr>
            <w:r w:rsidRPr="00422D9A">
              <w:rPr>
                <w:rFonts w:eastAsia="Calibri" w:cs="Tahoma"/>
                <w:b/>
                <w:bCs/>
                <w:color w:val="275317" w:themeColor="accent6" w:themeShade="80"/>
                <w:sz w:val="18"/>
                <w:szCs w:val="18"/>
              </w:rPr>
              <w:t>Actividades Cumplidas</w:t>
            </w:r>
          </w:p>
        </w:tc>
        <w:tc>
          <w:tcPr>
            <w:tcW w:w="846" w:type="dxa"/>
            <w:tcMar>
              <w:left w:w="70" w:type="dxa"/>
              <w:right w:w="70" w:type="dxa"/>
            </w:tcMar>
            <w:vAlign w:val="center"/>
          </w:tcPr>
          <w:p w14:paraId="69DF4438" w14:textId="77777777" w:rsidR="00DE3C06" w:rsidRPr="00422D9A" w:rsidRDefault="00DE3C06" w:rsidP="008A49D0">
            <w:pPr>
              <w:spacing w:after="0" w:line="276" w:lineRule="auto"/>
              <w:jc w:val="center"/>
              <w:rPr>
                <w:rFonts w:eastAsia="Calibri" w:cs="Tahoma"/>
                <w:b/>
                <w:bCs/>
                <w:color w:val="275317" w:themeColor="accent6" w:themeShade="80"/>
                <w:sz w:val="18"/>
                <w:szCs w:val="18"/>
              </w:rPr>
            </w:pPr>
            <w:r w:rsidRPr="00422D9A">
              <w:rPr>
                <w:rFonts w:eastAsia="Calibri" w:cs="Tahoma"/>
                <w:b/>
                <w:bCs/>
                <w:color w:val="275317" w:themeColor="accent6" w:themeShade="80"/>
                <w:sz w:val="18"/>
                <w:szCs w:val="18"/>
              </w:rPr>
              <w:t>Hallazgos Abiertos</w:t>
            </w:r>
          </w:p>
        </w:tc>
        <w:tc>
          <w:tcPr>
            <w:tcW w:w="1140" w:type="dxa"/>
            <w:tcMar>
              <w:left w:w="70" w:type="dxa"/>
              <w:right w:w="70" w:type="dxa"/>
            </w:tcMar>
            <w:vAlign w:val="center"/>
          </w:tcPr>
          <w:p w14:paraId="35491AF2" w14:textId="77777777" w:rsidR="00DE3C06" w:rsidRPr="00422D9A" w:rsidRDefault="00DE3C06" w:rsidP="008A49D0">
            <w:pPr>
              <w:spacing w:after="0" w:line="276" w:lineRule="auto"/>
              <w:jc w:val="center"/>
              <w:rPr>
                <w:rFonts w:eastAsia="Calibri" w:cs="Tahoma"/>
                <w:b/>
                <w:bCs/>
                <w:color w:val="275317" w:themeColor="accent6" w:themeShade="80"/>
                <w:sz w:val="18"/>
                <w:szCs w:val="18"/>
              </w:rPr>
            </w:pPr>
            <w:r w:rsidRPr="00422D9A">
              <w:rPr>
                <w:rFonts w:eastAsia="Calibri" w:cs="Tahoma"/>
                <w:b/>
                <w:bCs/>
                <w:color w:val="275317" w:themeColor="accent6" w:themeShade="80"/>
                <w:sz w:val="18"/>
                <w:szCs w:val="18"/>
              </w:rPr>
              <w:t xml:space="preserve">Actividades en Ejecución </w:t>
            </w:r>
          </w:p>
        </w:tc>
        <w:tc>
          <w:tcPr>
            <w:tcW w:w="2268" w:type="dxa"/>
            <w:tcMar>
              <w:left w:w="70" w:type="dxa"/>
              <w:right w:w="70" w:type="dxa"/>
            </w:tcMar>
            <w:vAlign w:val="center"/>
          </w:tcPr>
          <w:p w14:paraId="509B8064" w14:textId="77777777" w:rsidR="00DE3C06" w:rsidRPr="00422D9A" w:rsidRDefault="00DE3C06" w:rsidP="008A49D0">
            <w:pPr>
              <w:spacing w:after="0" w:line="276" w:lineRule="auto"/>
              <w:jc w:val="center"/>
              <w:rPr>
                <w:rFonts w:eastAsia="Calibri" w:cs="Tahoma"/>
                <w:b/>
                <w:bCs/>
                <w:color w:val="275317" w:themeColor="accent6" w:themeShade="80"/>
                <w:sz w:val="18"/>
                <w:szCs w:val="18"/>
              </w:rPr>
            </w:pPr>
            <w:r w:rsidRPr="00422D9A">
              <w:rPr>
                <w:rFonts w:eastAsia="Calibri" w:cs="Tahoma"/>
                <w:b/>
                <w:bCs/>
                <w:color w:val="275317" w:themeColor="accent6" w:themeShade="80"/>
                <w:sz w:val="18"/>
                <w:szCs w:val="18"/>
              </w:rPr>
              <w:t xml:space="preserve">Observación </w:t>
            </w:r>
          </w:p>
        </w:tc>
      </w:tr>
      <w:tr w:rsidR="00DE3C06" w:rsidRPr="000C5171" w14:paraId="035F2DBE" w14:textId="77777777" w:rsidTr="008A49D0">
        <w:trPr>
          <w:trHeight w:val="1070"/>
        </w:trPr>
        <w:tc>
          <w:tcPr>
            <w:tcW w:w="1332" w:type="dxa"/>
            <w:shd w:val="clear" w:color="auto" w:fill="C1F0C7"/>
            <w:tcMar>
              <w:left w:w="70" w:type="dxa"/>
              <w:right w:w="70" w:type="dxa"/>
            </w:tcMar>
            <w:vAlign w:val="center"/>
          </w:tcPr>
          <w:p w14:paraId="30B61CD3" w14:textId="77777777" w:rsidR="00DE3C06" w:rsidRPr="00422D9A" w:rsidRDefault="00DE3C06" w:rsidP="008A49D0">
            <w:pPr>
              <w:spacing w:after="0" w:line="276" w:lineRule="auto"/>
              <w:rPr>
                <w:rFonts w:eastAsia="Calibri" w:cs="Tahoma"/>
                <w:color w:val="275317" w:themeColor="accent6" w:themeShade="80"/>
                <w:sz w:val="20"/>
                <w:szCs w:val="20"/>
              </w:rPr>
            </w:pPr>
            <w:r w:rsidRPr="00422D9A">
              <w:rPr>
                <w:rFonts w:eastAsia="Calibri" w:cs="Tahoma"/>
                <w:color w:val="275317" w:themeColor="accent6" w:themeShade="80"/>
                <w:sz w:val="20"/>
                <w:szCs w:val="20"/>
              </w:rPr>
              <w:t>Auditoría Financiera Vigencia 2022</w:t>
            </w:r>
          </w:p>
        </w:tc>
        <w:tc>
          <w:tcPr>
            <w:tcW w:w="906" w:type="dxa"/>
            <w:shd w:val="clear" w:color="auto" w:fill="C1F0C7"/>
            <w:tcMar>
              <w:left w:w="70" w:type="dxa"/>
              <w:right w:w="70" w:type="dxa"/>
            </w:tcMar>
            <w:vAlign w:val="center"/>
          </w:tcPr>
          <w:p w14:paraId="557C98CD" w14:textId="77777777" w:rsidR="00DE3C06" w:rsidRPr="00422D9A" w:rsidRDefault="00DE3C06" w:rsidP="008A49D0">
            <w:pPr>
              <w:spacing w:after="0" w:line="276" w:lineRule="auto"/>
              <w:jc w:val="center"/>
              <w:rPr>
                <w:rFonts w:eastAsia="Calibri" w:cs="Tahoma"/>
                <w:color w:val="275317" w:themeColor="accent6" w:themeShade="80"/>
                <w:sz w:val="20"/>
                <w:szCs w:val="20"/>
              </w:rPr>
            </w:pPr>
            <w:r w:rsidRPr="00422D9A">
              <w:rPr>
                <w:rFonts w:eastAsia="Calibri" w:cs="Tahoma"/>
                <w:color w:val="275317" w:themeColor="accent6" w:themeShade="80"/>
                <w:sz w:val="20"/>
                <w:szCs w:val="20"/>
              </w:rPr>
              <w:t>6</w:t>
            </w:r>
          </w:p>
        </w:tc>
        <w:tc>
          <w:tcPr>
            <w:tcW w:w="1005" w:type="dxa"/>
            <w:shd w:val="clear" w:color="auto" w:fill="C1F0C7"/>
            <w:tcMar>
              <w:left w:w="70" w:type="dxa"/>
              <w:right w:w="70" w:type="dxa"/>
            </w:tcMar>
            <w:vAlign w:val="center"/>
          </w:tcPr>
          <w:p w14:paraId="27FEDB9F" w14:textId="77777777" w:rsidR="00DE3C06" w:rsidRPr="00422D9A" w:rsidRDefault="00DE3C06" w:rsidP="008A49D0">
            <w:pPr>
              <w:spacing w:after="0" w:line="276" w:lineRule="auto"/>
              <w:jc w:val="center"/>
              <w:rPr>
                <w:rFonts w:eastAsia="Calibri" w:cs="Tahoma"/>
                <w:color w:val="275317" w:themeColor="accent6" w:themeShade="80"/>
                <w:sz w:val="20"/>
                <w:szCs w:val="20"/>
              </w:rPr>
            </w:pPr>
            <w:r w:rsidRPr="00422D9A">
              <w:rPr>
                <w:rFonts w:eastAsia="Calibri" w:cs="Tahoma"/>
                <w:color w:val="275317" w:themeColor="accent6" w:themeShade="80"/>
                <w:sz w:val="20"/>
                <w:szCs w:val="20"/>
              </w:rPr>
              <w:t>10</w:t>
            </w:r>
          </w:p>
        </w:tc>
        <w:tc>
          <w:tcPr>
            <w:tcW w:w="854" w:type="dxa"/>
            <w:shd w:val="clear" w:color="auto" w:fill="C1F0C7"/>
            <w:tcMar>
              <w:left w:w="70" w:type="dxa"/>
              <w:right w:w="70" w:type="dxa"/>
            </w:tcMar>
            <w:vAlign w:val="center"/>
          </w:tcPr>
          <w:p w14:paraId="773C32DB" w14:textId="77777777" w:rsidR="00DE3C06" w:rsidRPr="00422D9A" w:rsidRDefault="00DE3C06" w:rsidP="008A49D0">
            <w:pPr>
              <w:spacing w:after="0" w:line="276" w:lineRule="auto"/>
              <w:jc w:val="center"/>
              <w:rPr>
                <w:rFonts w:eastAsia="Calibri" w:cs="Tahoma"/>
                <w:color w:val="275317" w:themeColor="accent6" w:themeShade="80"/>
                <w:sz w:val="20"/>
                <w:szCs w:val="20"/>
              </w:rPr>
            </w:pPr>
            <w:r w:rsidRPr="00422D9A">
              <w:rPr>
                <w:rFonts w:eastAsia="Calibri" w:cs="Tahoma"/>
                <w:color w:val="275317" w:themeColor="accent6" w:themeShade="80"/>
                <w:sz w:val="20"/>
                <w:szCs w:val="20"/>
              </w:rPr>
              <w:t>5</w:t>
            </w:r>
          </w:p>
        </w:tc>
        <w:tc>
          <w:tcPr>
            <w:tcW w:w="1005" w:type="dxa"/>
            <w:shd w:val="clear" w:color="auto" w:fill="C1F0C7"/>
            <w:tcMar>
              <w:left w:w="70" w:type="dxa"/>
              <w:right w:w="70" w:type="dxa"/>
            </w:tcMar>
            <w:vAlign w:val="center"/>
          </w:tcPr>
          <w:p w14:paraId="5B78026E" w14:textId="77777777" w:rsidR="00DE3C06" w:rsidRPr="00422D9A" w:rsidRDefault="00DE3C06" w:rsidP="008A49D0">
            <w:pPr>
              <w:spacing w:after="0" w:line="276" w:lineRule="auto"/>
              <w:jc w:val="center"/>
              <w:rPr>
                <w:rFonts w:eastAsia="Calibri" w:cs="Tahoma"/>
                <w:color w:val="275317" w:themeColor="accent6" w:themeShade="80"/>
                <w:sz w:val="20"/>
                <w:szCs w:val="20"/>
              </w:rPr>
            </w:pPr>
            <w:r w:rsidRPr="00422D9A">
              <w:rPr>
                <w:rFonts w:eastAsia="Calibri" w:cs="Tahoma"/>
                <w:color w:val="275317" w:themeColor="accent6" w:themeShade="80"/>
                <w:sz w:val="20"/>
                <w:szCs w:val="20"/>
              </w:rPr>
              <w:t>10</w:t>
            </w:r>
          </w:p>
        </w:tc>
        <w:tc>
          <w:tcPr>
            <w:tcW w:w="846" w:type="dxa"/>
            <w:shd w:val="clear" w:color="auto" w:fill="C1F0C7"/>
            <w:tcMar>
              <w:left w:w="70" w:type="dxa"/>
              <w:right w:w="70" w:type="dxa"/>
            </w:tcMar>
            <w:vAlign w:val="center"/>
          </w:tcPr>
          <w:p w14:paraId="26020E01" w14:textId="77777777" w:rsidR="00DE3C06" w:rsidRPr="00422D9A" w:rsidRDefault="00DE3C06" w:rsidP="008A49D0">
            <w:pPr>
              <w:spacing w:after="0" w:line="276" w:lineRule="auto"/>
              <w:jc w:val="center"/>
              <w:rPr>
                <w:rFonts w:eastAsia="Calibri" w:cs="Tahoma"/>
                <w:color w:val="275317" w:themeColor="accent6" w:themeShade="80"/>
                <w:sz w:val="20"/>
                <w:szCs w:val="20"/>
              </w:rPr>
            </w:pPr>
            <w:r w:rsidRPr="00422D9A">
              <w:rPr>
                <w:rFonts w:eastAsia="Calibri" w:cs="Tahoma"/>
                <w:color w:val="275317" w:themeColor="accent6" w:themeShade="80"/>
                <w:sz w:val="20"/>
                <w:szCs w:val="20"/>
              </w:rPr>
              <w:t>1</w:t>
            </w:r>
          </w:p>
        </w:tc>
        <w:tc>
          <w:tcPr>
            <w:tcW w:w="1140" w:type="dxa"/>
            <w:shd w:val="clear" w:color="auto" w:fill="C1F0C7"/>
            <w:tcMar>
              <w:left w:w="70" w:type="dxa"/>
              <w:right w:w="70" w:type="dxa"/>
            </w:tcMar>
            <w:vAlign w:val="center"/>
          </w:tcPr>
          <w:p w14:paraId="37E00040" w14:textId="77777777" w:rsidR="00DE3C06" w:rsidRPr="00422D9A" w:rsidRDefault="00DE3C06" w:rsidP="008A49D0">
            <w:pPr>
              <w:spacing w:after="0" w:line="276" w:lineRule="auto"/>
              <w:jc w:val="center"/>
              <w:rPr>
                <w:rFonts w:eastAsia="Calibri" w:cs="Tahoma"/>
                <w:color w:val="275317" w:themeColor="accent6" w:themeShade="80"/>
                <w:sz w:val="20"/>
                <w:szCs w:val="20"/>
              </w:rPr>
            </w:pPr>
            <w:r w:rsidRPr="00422D9A">
              <w:rPr>
                <w:rFonts w:eastAsia="Calibri" w:cs="Tahoma"/>
                <w:color w:val="275317" w:themeColor="accent6" w:themeShade="80"/>
                <w:sz w:val="20"/>
                <w:szCs w:val="20"/>
              </w:rPr>
              <w:t>0</w:t>
            </w:r>
          </w:p>
        </w:tc>
        <w:tc>
          <w:tcPr>
            <w:tcW w:w="2268" w:type="dxa"/>
            <w:shd w:val="clear" w:color="auto" w:fill="C1F0C7"/>
            <w:tcMar>
              <w:left w:w="70" w:type="dxa"/>
              <w:right w:w="70" w:type="dxa"/>
            </w:tcMar>
            <w:vAlign w:val="center"/>
          </w:tcPr>
          <w:p w14:paraId="27766075" w14:textId="77777777" w:rsidR="00DE3C06" w:rsidRPr="00422D9A" w:rsidRDefault="00DE3C06" w:rsidP="008A49D0">
            <w:pPr>
              <w:spacing w:after="0" w:line="276" w:lineRule="auto"/>
              <w:jc w:val="center"/>
              <w:rPr>
                <w:rFonts w:eastAsia="Calibri" w:cs="Tahoma"/>
                <w:color w:val="275317" w:themeColor="accent6" w:themeShade="80"/>
                <w:sz w:val="20"/>
                <w:szCs w:val="20"/>
              </w:rPr>
            </w:pPr>
            <w:r w:rsidRPr="00422D9A">
              <w:rPr>
                <w:rFonts w:eastAsia="Calibri" w:cs="Tahoma"/>
                <w:color w:val="275317" w:themeColor="accent6" w:themeShade="80"/>
                <w:sz w:val="20"/>
                <w:szCs w:val="20"/>
              </w:rPr>
              <w:t>Las acciones se encuentran cumplidas, Pendiente de determinar efectividad.</w:t>
            </w:r>
          </w:p>
        </w:tc>
      </w:tr>
      <w:tr w:rsidR="00DE3C06" w:rsidRPr="000C5171" w14:paraId="07DAD338" w14:textId="77777777" w:rsidTr="008A49D0">
        <w:trPr>
          <w:trHeight w:val="700"/>
        </w:trPr>
        <w:tc>
          <w:tcPr>
            <w:tcW w:w="1332" w:type="dxa"/>
            <w:tcMar>
              <w:left w:w="70" w:type="dxa"/>
              <w:right w:w="70" w:type="dxa"/>
            </w:tcMar>
            <w:vAlign w:val="center"/>
          </w:tcPr>
          <w:p w14:paraId="756A7F34" w14:textId="77777777" w:rsidR="00DE3C06" w:rsidRPr="00422D9A" w:rsidRDefault="00DE3C06" w:rsidP="008A49D0">
            <w:pPr>
              <w:spacing w:after="0" w:line="276" w:lineRule="auto"/>
              <w:rPr>
                <w:rFonts w:eastAsia="Calibri" w:cs="Tahoma"/>
                <w:color w:val="275317" w:themeColor="accent6" w:themeShade="80"/>
                <w:sz w:val="20"/>
                <w:szCs w:val="20"/>
              </w:rPr>
            </w:pPr>
            <w:r w:rsidRPr="00422D9A">
              <w:rPr>
                <w:rFonts w:eastAsia="Calibri" w:cs="Tahoma"/>
                <w:color w:val="275317" w:themeColor="accent6" w:themeShade="80"/>
                <w:sz w:val="20"/>
                <w:szCs w:val="20"/>
              </w:rPr>
              <w:t>Auditoría Cumplimiento 2° SEM 2024</w:t>
            </w:r>
          </w:p>
        </w:tc>
        <w:tc>
          <w:tcPr>
            <w:tcW w:w="906" w:type="dxa"/>
            <w:tcMar>
              <w:left w:w="70" w:type="dxa"/>
              <w:right w:w="70" w:type="dxa"/>
            </w:tcMar>
            <w:vAlign w:val="center"/>
          </w:tcPr>
          <w:p w14:paraId="119EDC0A" w14:textId="77777777" w:rsidR="00DE3C06" w:rsidRPr="00422D9A" w:rsidRDefault="00DE3C06" w:rsidP="008A49D0">
            <w:pPr>
              <w:spacing w:after="0" w:line="276" w:lineRule="auto"/>
              <w:jc w:val="center"/>
              <w:rPr>
                <w:rFonts w:eastAsia="Calibri" w:cs="Tahoma"/>
                <w:color w:val="275317" w:themeColor="accent6" w:themeShade="80"/>
                <w:sz w:val="20"/>
                <w:szCs w:val="20"/>
              </w:rPr>
            </w:pPr>
            <w:r w:rsidRPr="00422D9A">
              <w:rPr>
                <w:rFonts w:eastAsia="Calibri" w:cs="Tahoma"/>
                <w:color w:val="275317" w:themeColor="accent6" w:themeShade="80"/>
                <w:sz w:val="20"/>
                <w:szCs w:val="20"/>
              </w:rPr>
              <w:t>12</w:t>
            </w:r>
          </w:p>
        </w:tc>
        <w:tc>
          <w:tcPr>
            <w:tcW w:w="1005" w:type="dxa"/>
            <w:tcMar>
              <w:left w:w="70" w:type="dxa"/>
              <w:right w:w="70" w:type="dxa"/>
            </w:tcMar>
            <w:vAlign w:val="center"/>
          </w:tcPr>
          <w:p w14:paraId="166C1FB6" w14:textId="77777777" w:rsidR="00DE3C06" w:rsidRPr="00422D9A" w:rsidRDefault="00DE3C06" w:rsidP="008A49D0">
            <w:pPr>
              <w:spacing w:after="0" w:line="276" w:lineRule="auto"/>
              <w:jc w:val="center"/>
              <w:rPr>
                <w:rFonts w:eastAsia="Calibri" w:cs="Tahoma"/>
                <w:color w:val="275317" w:themeColor="accent6" w:themeShade="80"/>
                <w:sz w:val="20"/>
                <w:szCs w:val="20"/>
              </w:rPr>
            </w:pPr>
            <w:r w:rsidRPr="00422D9A">
              <w:rPr>
                <w:rFonts w:eastAsia="Calibri" w:cs="Tahoma"/>
                <w:color w:val="275317" w:themeColor="accent6" w:themeShade="80"/>
                <w:sz w:val="20"/>
                <w:szCs w:val="20"/>
              </w:rPr>
              <w:t>35</w:t>
            </w:r>
          </w:p>
        </w:tc>
        <w:tc>
          <w:tcPr>
            <w:tcW w:w="854" w:type="dxa"/>
            <w:tcMar>
              <w:left w:w="70" w:type="dxa"/>
              <w:right w:w="70" w:type="dxa"/>
            </w:tcMar>
            <w:vAlign w:val="center"/>
          </w:tcPr>
          <w:p w14:paraId="4D0945CF" w14:textId="77777777" w:rsidR="00DE3C06" w:rsidRPr="00422D9A" w:rsidRDefault="00DE3C06" w:rsidP="008A49D0">
            <w:pPr>
              <w:spacing w:after="0" w:line="276" w:lineRule="auto"/>
              <w:jc w:val="center"/>
              <w:rPr>
                <w:rFonts w:eastAsia="Calibri" w:cs="Tahoma"/>
                <w:color w:val="275317" w:themeColor="accent6" w:themeShade="80"/>
                <w:sz w:val="20"/>
                <w:szCs w:val="20"/>
              </w:rPr>
            </w:pPr>
            <w:r w:rsidRPr="00422D9A">
              <w:rPr>
                <w:rFonts w:eastAsia="Calibri" w:cs="Tahoma"/>
                <w:color w:val="275317" w:themeColor="accent6" w:themeShade="80"/>
                <w:sz w:val="20"/>
                <w:szCs w:val="20"/>
              </w:rPr>
              <w:t>4</w:t>
            </w:r>
          </w:p>
        </w:tc>
        <w:tc>
          <w:tcPr>
            <w:tcW w:w="1005" w:type="dxa"/>
            <w:tcMar>
              <w:left w:w="70" w:type="dxa"/>
              <w:right w:w="70" w:type="dxa"/>
            </w:tcMar>
            <w:vAlign w:val="center"/>
          </w:tcPr>
          <w:p w14:paraId="77C7F4FB" w14:textId="77777777" w:rsidR="00DE3C06" w:rsidRPr="00422D9A" w:rsidRDefault="00DE3C06" w:rsidP="008A49D0">
            <w:pPr>
              <w:spacing w:after="0" w:line="276" w:lineRule="auto"/>
              <w:jc w:val="center"/>
              <w:rPr>
                <w:rFonts w:eastAsia="Calibri" w:cs="Tahoma"/>
                <w:color w:val="275317" w:themeColor="accent6" w:themeShade="80"/>
                <w:sz w:val="20"/>
                <w:szCs w:val="20"/>
              </w:rPr>
            </w:pPr>
            <w:r w:rsidRPr="00422D9A">
              <w:rPr>
                <w:rFonts w:eastAsia="Calibri" w:cs="Tahoma"/>
                <w:color w:val="275317" w:themeColor="accent6" w:themeShade="80"/>
                <w:sz w:val="20"/>
                <w:szCs w:val="20"/>
              </w:rPr>
              <w:t>30</w:t>
            </w:r>
          </w:p>
        </w:tc>
        <w:tc>
          <w:tcPr>
            <w:tcW w:w="846" w:type="dxa"/>
            <w:tcMar>
              <w:left w:w="70" w:type="dxa"/>
              <w:right w:w="70" w:type="dxa"/>
            </w:tcMar>
            <w:vAlign w:val="center"/>
          </w:tcPr>
          <w:p w14:paraId="4D0E38C5" w14:textId="77777777" w:rsidR="00DE3C06" w:rsidRPr="00422D9A" w:rsidRDefault="00DE3C06" w:rsidP="008A49D0">
            <w:pPr>
              <w:spacing w:after="0" w:line="276" w:lineRule="auto"/>
              <w:jc w:val="center"/>
              <w:rPr>
                <w:rFonts w:eastAsia="Calibri" w:cs="Tahoma"/>
                <w:color w:val="275317" w:themeColor="accent6" w:themeShade="80"/>
                <w:sz w:val="20"/>
                <w:szCs w:val="20"/>
              </w:rPr>
            </w:pPr>
            <w:r w:rsidRPr="00422D9A">
              <w:rPr>
                <w:rFonts w:eastAsia="Calibri" w:cs="Tahoma"/>
                <w:color w:val="275317" w:themeColor="accent6" w:themeShade="80"/>
                <w:sz w:val="20"/>
                <w:szCs w:val="20"/>
              </w:rPr>
              <w:t>8</w:t>
            </w:r>
          </w:p>
        </w:tc>
        <w:tc>
          <w:tcPr>
            <w:tcW w:w="1140" w:type="dxa"/>
            <w:tcMar>
              <w:left w:w="70" w:type="dxa"/>
              <w:right w:w="70" w:type="dxa"/>
            </w:tcMar>
            <w:vAlign w:val="center"/>
          </w:tcPr>
          <w:p w14:paraId="35A4B383" w14:textId="77777777" w:rsidR="00DE3C06" w:rsidRPr="00422D9A" w:rsidRDefault="00DE3C06" w:rsidP="008A49D0">
            <w:pPr>
              <w:spacing w:after="0" w:line="276" w:lineRule="auto"/>
              <w:jc w:val="center"/>
              <w:rPr>
                <w:rFonts w:eastAsia="Calibri" w:cs="Tahoma"/>
                <w:color w:val="275317" w:themeColor="accent6" w:themeShade="80"/>
                <w:sz w:val="20"/>
                <w:szCs w:val="20"/>
              </w:rPr>
            </w:pPr>
            <w:r w:rsidRPr="00422D9A">
              <w:rPr>
                <w:rFonts w:eastAsia="Calibri" w:cs="Tahoma"/>
                <w:color w:val="275317" w:themeColor="accent6" w:themeShade="80"/>
                <w:sz w:val="20"/>
                <w:szCs w:val="20"/>
              </w:rPr>
              <w:t>5</w:t>
            </w:r>
          </w:p>
        </w:tc>
        <w:tc>
          <w:tcPr>
            <w:tcW w:w="2268" w:type="dxa"/>
            <w:tcMar>
              <w:left w:w="70" w:type="dxa"/>
              <w:right w:w="70" w:type="dxa"/>
            </w:tcMar>
            <w:vAlign w:val="center"/>
          </w:tcPr>
          <w:p w14:paraId="0A87692E" w14:textId="77777777" w:rsidR="00DE3C06" w:rsidRPr="00422D9A" w:rsidRDefault="00DE3C06" w:rsidP="008A49D0">
            <w:pPr>
              <w:spacing w:after="0" w:line="276" w:lineRule="auto"/>
              <w:jc w:val="center"/>
              <w:rPr>
                <w:rFonts w:eastAsia="Calibri" w:cs="Tahoma"/>
                <w:color w:val="275317" w:themeColor="accent6" w:themeShade="80"/>
                <w:sz w:val="20"/>
                <w:szCs w:val="20"/>
              </w:rPr>
            </w:pPr>
            <w:r w:rsidRPr="00422D9A">
              <w:rPr>
                <w:rFonts w:eastAsia="Calibri" w:cs="Tahoma"/>
                <w:color w:val="275317" w:themeColor="accent6" w:themeShade="80"/>
                <w:sz w:val="20"/>
                <w:szCs w:val="20"/>
              </w:rPr>
              <w:t>Las acciones presentan un avance del 80%</w:t>
            </w:r>
          </w:p>
        </w:tc>
      </w:tr>
      <w:tr w:rsidR="00DE3C06" w:rsidRPr="000C5171" w14:paraId="42D2C90A" w14:textId="77777777" w:rsidTr="008A49D0">
        <w:trPr>
          <w:trHeight w:val="1309"/>
        </w:trPr>
        <w:tc>
          <w:tcPr>
            <w:tcW w:w="1332" w:type="dxa"/>
            <w:shd w:val="clear" w:color="auto" w:fill="C1F0C7"/>
            <w:tcMar>
              <w:left w:w="70" w:type="dxa"/>
              <w:right w:w="70" w:type="dxa"/>
            </w:tcMar>
            <w:vAlign w:val="center"/>
          </w:tcPr>
          <w:p w14:paraId="70E5C616" w14:textId="77777777" w:rsidR="00DE3C06" w:rsidRPr="00422D9A" w:rsidRDefault="00DE3C06" w:rsidP="008A49D0">
            <w:pPr>
              <w:spacing w:after="0" w:line="276" w:lineRule="auto"/>
              <w:rPr>
                <w:rFonts w:eastAsia="Calibri" w:cs="Tahoma"/>
                <w:color w:val="275317" w:themeColor="accent6" w:themeShade="80"/>
                <w:sz w:val="20"/>
                <w:szCs w:val="20"/>
              </w:rPr>
            </w:pPr>
            <w:r w:rsidRPr="00422D9A">
              <w:rPr>
                <w:rFonts w:eastAsia="Calibri" w:cs="Tahoma"/>
                <w:color w:val="275317" w:themeColor="accent6" w:themeShade="80"/>
                <w:sz w:val="20"/>
                <w:szCs w:val="20"/>
              </w:rPr>
              <w:t>Auditoría de Cumplimiento Intersectorial – 2025</w:t>
            </w:r>
          </w:p>
        </w:tc>
        <w:tc>
          <w:tcPr>
            <w:tcW w:w="906" w:type="dxa"/>
            <w:shd w:val="clear" w:color="auto" w:fill="C1F0C7"/>
            <w:tcMar>
              <w:left w:w="70" w:type="dxa"/>
              <w:right w:w="70" w:type="dxa"/>
            </w:tcMar>
            <w:vAlign w:val="center"/>
          </w:tcPr>
          <w:p w14:paraId="39ED236B" w14:textId="77777777" w:rsidR="00DE3C06" w:rsidRPr="00422D9A" w:rsidRDefault="00DE3C06" w:rsidP="008A49D0">
            <w:pPr>
              <w:spacing w:after="0" w:line="276" w:lineRule="auto"/>
              <w:jc w:val="center"/>
              <w:rPr>
                <w:rFonts w:eastAsia="Calibri" w:cs="Tahoma"/>
                <w:color w:val="275317" w:themeColor="accent6" w:themeShade="80"/>
                <w:sz w:val="20"/>
                <w:szCs w:val="20"/>
              </w:rPr>
            </w:pPr>
            <w:r w:rsidRPr="00422D9A">
              <w:rPr>
                <w:rFonts w:eastAsia="Calibri" w:cs="Tahoma"/>
                <w:color w:val="275317" w:themeColor="accent6" w:themeShade="80"/>
                <w:sz w:val="20"/>
                <w:szCs w:val="20"/>
              </w:rPr>
              <w:t>6</w:t>
            </w:r>
          </w:p>
        </w:tc>
        <w:tc>
          <w:tcPr>
            <w:tcW w:w="1005" w:type="dxa"/>
            <w:shd w:val="clear" w:color="auto" w:fill="C1F0C7"/>
            <w:tcMar>
              <w:left w:w="70" w:type="dxa"/>
              <w:right w:w="70" w:type="dxa"/>
            </w:tcMar>
            <w:vAlign w:val="center"/>
          </w:tcPr>
          <w:p w14:paraId="5974893A" w14:textId="77777777" w:rsidR="00DE3C06" w:rsidRPr="00422D9A" w:rsidRDefault="00DE3C06" w:rsidP="008A49D0">
            <w:pPr>
              <w:spacing w:after="0" w:line="276" w:lineRule="auto"/>
              <w:jc w:val="center"/>
              <w:rPr>
                <w:rFonts w:eastAsia="Calibri" w:cs="Tahoma"/>
                <w:color w:val="275317" w:themeColor="accent6" w:themeShade="80"/>
                <w:sz w:val="20"/>
                <w:szCs w:val="20"/>
              </w:rPr>
            </w:pPr>
            <w:r w:rsidRPr="00422D9A">
              <w:rPr>
                <w:rFonts w:eastAsia="Calibri" w:cs="Tahoma"/>
                <w:color w:val="275317" w:themeColor="accent6" w:themeShade="80"/>
                <w:sz w:val="20"/>
                <w:szCs w:val="20"/>
              </w:rPr>
              <w:t>13</w:t>
            </w:r>
          </w:p>
        </w:tc>
        <w:tc>
          <w:tcPr>
            <w:tcW w:w="854" w:type="dxa"/>
            <w:shd w:val="clear" w:color="auto" w:fill="C1F0C7"/>
            <w:tcMar>
              <w:left w:w="70" w:type="dxa"/>
              <w:right w:w="70" w:type="dxa"/>
            </w:tcMar>
            <w:vAlign w:val="center"/>
          </w:tcPr>
          <w:p w14:paraId="66C1493D" w14:textId="77777777" w:rsidR="00DE3C06" w:rsidRPr="00422D9A" w:rsidRDefault="00DE3C06" w:rsidP="008A49D0">
            <w:pPr>
              <w:spacing w:after="0" w:line="276" w:lineRule="auto"/>
              <w:jc w:val="center"/>
              <w:rPr>
                <w:rFonts w:eastAsia="Calibri" w:cs="Tahoma"/>
                <w:color w:val="275317" w:themeColor="accent6" w:themeShade="80"/>
                <w:sz w:val="20"/>
                <w:szCs w:val="20"/>
              </w:rPr>
            </w:pPr>
            <w:r w:rsidRPr="00422D9A">
              <w:rPr>
                <w:rFonts w:eastAsia="Calibri" w:cs="Tahoma"/>
                <w:color w:val="275317" w:themeColor="accent6" w:themeShade="80"/>
                <w:sz w:val="20"/>
                <w:szCs w:val="20"/>
              </w:rPr>
              <w:t>0</w:t>
            </w:r>
          </w:p>
        </w:tc>
        <w:tc>
          <w:tcPr>
            <w:tcW w:w="1005" w:type="dxa"/>
            <w:shd w:val="clear" w:color="auto" w:fill="C1F0C7"/>
            <w:tcMar>
              <w:left w:w="70" w:type="dxa"/>
              <w:right w:w="70" w:type="dxa"/>
            </w:tcMar>
            <w:vAlign w:val="center"/>
          </w:tcPr>
          <w:p w14:paraId="20239AD4" w14:textId="77777777" w:rsidR="00DE3C06" w:rsidRPr="00422D9A" w:rsidRDefault="00DE3C06" w:rsidP="008A49D0">
            <w:pPr>
              <w:spacing w:after="0" w:line="276" w:lineRule="auto"/>
              <w:jc w:val="center"/>
              <w:rPr>
                <w:rFonts w:eastAsia="Calibri" w:cs="Tahoma"/>
                <w:color w:val="275317" w:themeColor="accent6" w:themeShade="80"/>
                <w:sz w:val="20"/>
                <w:szCs w:val="20"/>
              </w:rPr>
            </w:pPr>
            <w:r w:rsidRPr="00422D9A">
              <w:rPr>
                <w:rFonts w:eastAsia="Calibri" w:cs="Tahoma"/>
                <w:color w:val="275317" w:themeColor="accent6" w:themeShade="80"/>
                <w:sz w:val="20"/>
                <w:szCs w:val="20"/>
              </w:rPr>
              <w:t>0</w:t>
            </w:r>
          </w:p>
        </w:tc>
        <w:tc>
          <w:tcPr>
            <w:tcW w:w="846" w:type="dxa"/>
            <w:shd w:val="clear" w:color="auto" w:fill="C1F0C7"/>
            <w:tcMar>
              <w:left w:w="70" w:type="dxa"/>
              <w:right w:w="70" w:type="dxa"/>
            </w:tcMar>
            <w:vAlign w:val="center"/>
          </w:tcPr>
          <w:p w14:paraId="10F77F8D" w14:textId="77777777" w:rsidR="00DE3C06" w:rsidRPr="00422D9A" w:rsidRDefault="00DE3C06" w:rsidP="008A49D0">
            <w:pPr>
              <w:spacing w:after="0" w:line="276" w:lineRule="auto"/>
              <w:jc w:val="center"/>
              <w:rPr>
                <w:rFonts w:eastAsia="Calibri" w:cs="Tahoma"/>
                <w:color w:val="275317" w:themeColor="accent6" w:themeShade="80"/>
                <w:sz w:val="20"/>
                <w:szCs w:val="20"/>
              </w:rPr>
            </w:pPr>
            <w:r w:rsidRPr="00422D9A">
              <w:rPr>
                <w:rFonts w:eastAsia="Calibri" w:cs="Tahoma"/>
                <w:color w:val="275317" w:themeColor="accent6" w:themeShade="80"/>
                <w:sz w:val="20"/>
                <w:szCs w:val="20"/>
              </w:rPr>
              <w:t>6</w:t>
            </w:r>
          </w:p>
        </w:tc>
        <w:tc>
          <w:tcPr>
            <w:tcW w:w="1140" w:type="dxa"/>
            <w:shd w:val="clear" w:color="auto" w:fill="C1F0C7"/>
            <w:tcMar>
              <w:left w:w="70" w:type="dxa"/>
              <w:right w:w="70" w:type="dxa"/>
            </w:tcMar>
            <w:vAlign w:val="center"/>
          </w:tcPr>
          <w:p w14:paraId="01E4F11C" w14:textId="77777777" w:rsidR="00DE3C06" w:rsidRPr="00422D9A" w:rsidRDefault="00DE3C06" w:rsidP="008A49D0">
            <w:pPr>
              <w:spacing w:after="0" w:line="276" w:lineRule="auto"/>
              <w:jc w:val="center"/>
              <w:rPr>
                <w:rFonts w:eastAsia="Calibri" w:cs="Tahoma"/>
                <w:color w:val="275317" w:themeColor="accent6" w:themeShade="80"/>
                <w:sz w:val="20"/>
                <w:szCs w:val="20"/>
              </w:rPr>
            </w:pPr>
            <w:r w:rsidRPr="00422D9A">
              <w:rPr>
                <w:rFonts w:eastAsia="Calibri" w:cs="Tahoma"/>
                <w:color w:val="275317" w:themeColor="accent6" w:themeShade="80"/>
                <w:sz w:val="20"/>
                <w:szCs w:val="20"/>
              </w:rPr>
              <w:t>13</w:t>
            </w:r>
          </w:p>
        </w:tc>
        <w:tc>
          <w:tcPr>
            <w:tcW w:w="2268" w:type="dxa"/>
            <w:shd w:val="clear" w:color="auto" w:fill="C1F0C7"/>
            <w:tcMar>
              <w:left w:w="70" w:type="dxa"/>
              <w:right w:w="70" w:type="dxa"/>
            </w:tcMar>
            <w:vAlign w:val="center"/>
          </w:tcPr>
          <w:p w14:paraId="47026B14" w14:textId="77777777" w:rsidR="00DE3C06" w:rsidRPr="00422D9A" w:rsidRDefault="00DE3C06" w:rsidP="008A49D0">
            <w:pPr>
              <w:spacing w:after="0" w:line="276" w:lineRule="auto"/>
              <w:jc w:val="center"/>
              <w:rPr>
                <w:rFonts w:eastAsia="Calibri" w:cs="Tahoma"/>
                <w:color w:val="275317" w:themeColor="accent6" w:themeShade="80"/>
                <w:sz w:val="20"/>
                <w:szCs w:val="20"/>
              </w:rPr>
            </w:pPr>
            <w:r w:rsidRPr="00422D9A">
              <w:rPr>
                <w:rFonts w:eastAsia="Calibri" w:cs="Tahoma"/>
                <w:color w:val="275317" w:themeColor="accent6" w:themeShade="80"/>
                <w:sz w:val="20"/>
                <w:szCs w:val="20"/>
              </w:rPr>
              <w:t>Plan de Mejoramiento suscrito el 24 diciembre de 2025, las actividades se encuentran en plazo de ejecución.</w:t>
            </w:r>
          </w:p>
        </w:tc>
      </w:tr>
      <w:tr w:rsidR="00DE3C06" w:rsidRPr="000C5171" w14:paraId="4C2D593C" w14:textId="77777777" w:rsidTr="008A49D0">
        <w:trPr>
          <w:trHeight w:val="350"/>
        </w:trPr>
        <w:tc>
          <w:tcPr>
            <w:tcW w:w="1332" w:type="dxa"/>
            <w:tcMar>
              <w:left w:w="70" w:type="dxa"/>
              <w:right w:w="70" w:type="dxa"/>
            </w:tcMar>
            <w:vAlign w:val="center"/>
          </w:tcPr>
          <w:p w14:paraId="2B776F42" w14:textId="77777777" w:rsidR="00DE3C06" w:rsidRPr="00422D9A" w:rsidRDefault="00DE3C06" w:rsidP="008A49D0">
            <w:pPr>
              <w:spacing w:after="0" w:line="276" w:lineRule="auto"/>
              <w:jc w:val="center"/>
              <w:rPr>
                <w:rFonts w:eastAsia="Calibri" w:cs="Tahoma"/>
                <w:b/>
                <w:bCs/>
                <w:color w:val="275317" w:themeColor="accent6" w:themeShade="80"/>
                <w:sz w:val="20"/>
                <w:szCs w:val="20"/>
              </w:rPr>
            </w:pPr>
            <w:r w:rsidRPr="00422D9A">
              <w:rPr>
                <w:rFonts w:eastAsia="Calibri" w:cs="Tahoma"/>
                <w:b/>
                <w:bCs/>
                <w:color w:val="275317" w:themeColor="accent6" w:themeShade="80"/>
                <w:sz w:val="20"/>
                <w:szCs w:val="20"/>
              </w:rPr>
              <w:t>TOTAL</w:t>
            </w:r>
          </w:p>
        </w:tc>
        <w:tc>
          <w:tcPr>
            <w:tcW w:w="906" w:type="dxa"/>
            <w:tcMar>
              <w:left w:w="70" w:type="dxa"/>
              <w:right w:w="70" w:type="dxa"/>
            </w:tcMar>
            <w:vAlign w:val="center"/>
          </w:tcPr>
          <w:p w14:paraId="1FF3FCAA" w14:textId="77777777" w:rsidR="00DE3C06" w:rsidRPr="00422D9A" w:rsidRDefault="00DE3C06" w:rsidP="008A49D0">
            <w:pPr>
              <w:spacing w:after="0" w:line="276" w:lineRule="auto"/>
              <w:jc w:val="center"/>
              <w:rPr>
                <w:rFonts w:eastAsia="Calibri" w:cs="Tahoma"/>
                <w:b/>
                <w:bCs/>
                <w:color w:val="275317" w:themeColor="accent6" w:themeShade="80"/>
                <w:sz w:val="20"/>
                <w:szCs w:val="20"/>
              </w:rPr>
            </w:pPr>
            <w:r w:rsidRPr="00422D9A">
              <w:rPr>
                <w:rFonts w:eastAsia="Calibri" w:cs="Tahoma"/>
                <w:b/>
                <w:bCs/>
                <w:color w:val="275317" w:themeColor="accent6" w:themeShade="80"/>
                <w:sz w:val="20"/>
                <w:szCs w:val="20"/>
              </w:rPr>
              <w:t>24</w:t>
            </w:r>
          </w:p>
        </w:tc>
        <w:tc>
          <w:tcPr>
            <w:tcW w:w="1005" w:type="dxa"/>
            <w:tcMar>
              <w:left w:w="70" w:type="dxa"/>
              <w:right w:w="70" w:type="dxa"/>
            </w:tcMar>
            <w:vAlign w:val="center"/>
          </w:tcPr>
          <w:p w14:paraId="6E30B662" w14:textId="77777777" w:rsidR="00DE3C06" w:rsidRPr="00422D9A" w:rsidRDefault="00DE3C06" w:rsidP="008A49D0">
            <w:pPr>
              <w:spacing w:after="0" w:line="276" w:lineRule="auto"/>
              <w:jc w:val="center"/>
              <w:rPr>
                <w:rFonts w:eastAsia="Calibri" w:cs="Tahoma"/>
                <w:b/>
                <w:bCs/>
                <w:color w:val="275317" w:themeColor="accent6" w:themeShade="80"/>
                <w:sz w:val="20"/>
                <w:szCs w:val="20"/>
              </w:rPr>
            </w:pPr>
            <w:r w:rsidRPr="00422D9A">
              <w:rPr>
                <w:rFonts w:eastAsia="Calibri" w:cs="Tahoma"/>
                <w:b/>
                <w:bCs/>
                <w:color w:val="275317" w:themeColor="accent6" w:themeShade="80"/>
                <w:sz w:val="20"/>
                <w:szCs w:val="20"/>
              </w:rPr>
              <w:t>58</w:t>
            </w:r>
          </w:p>
        </w:tc>
        <w:tc>
          <w:tcPr>
            <w:tcW w:w="854" w:type="dxa"/>
            <w:tcMar>
              <w:left w:w="70" w:type="dxa"/>
              <w:right w:w="70" w:type="dxa"/>
            </w:tcMar>
            <w:vAlign w:val="center"/>
          </w:tcPr>
          <w:p w14:paraId="5DD1C962" w14:textId="77777777" w:rsidR="00DE3C06" w:rsidRPr="00422D9A" w:rsidRDefault="00DE3C06" w:rsidP="008A49D0">
            <w:pPr>
              <w:spacing w:after="0" w:line="276" w:lineRule="auto"/>
              <w:jc w:val="center"/>
              <w:rPr>
                <w:rFonts w:eastAsia="Calibri" w:cs="Tahoma"/>
                <w:b/>
                <w:bCs/>
                <w:color w:val="275317" w:themeColor="accent6" w:themeShade="80"/>
                <w:sz w:val="20"/>
                <w:szCs w:val="20"/>
              </w:rPr>
            </w:pPr>
            <w:r w:rsidRPr="00422D9A">
              <w:rPr>
                <w:rFonts w:eastAsia="Calibri" w:cs="Tahoma"/>
                <w:b/>
                <w:bCs/>
                <w:color w:val="275317" w:themeColor="accent6" w:themeShade="80"/>
                <w:sz w:val="20"/>
                <w:szCs w:val="20"/>
              </w:rPr>
              <w:t>9</w:t>
            </w:r>
          </w:p>
        </w:tc>
        <w:tc>
          <w:tcPr>
            <w:tcW w:w="1005" w:type="dxa"/>
            <w:tcMar>
              <w:left w:w="70" w:type="dxa"/>
              <w:right w:w="70" w:type="dxa"/>
            </w:tcMar>
            <w:vAlign w:val="center"/>
          </w:tcPr>
          <w:p w14:paraId="54279123" w14:textId="77777777" w:rsidR="00DE3C06" w:rsidRPr="00422D9A" w:rsidRDefault="00DE3C06" w:rsidP="008A49D0">
            <w:pPr>
              <w:spacing w:after="0" w:line="276" w:lineRule="auto"/>
              <w:jc w:val="center"/>
              <w:rPr>
                <w:rFonts w:eastAsia="Calibri" w:cs="Tahoma"/>
                <w:b/>
                <w:bCs/>
                <w:color w:val="275317" w:themeColor="accent6" w:themeShade="80"/>
                <w:sz w:val="20"/>
                <w:szCs w:val="20"/>
              </w:rPr>
            </w:pPr>
            <w:r w:rsidRPr="00422D9A">
              <w:rPr>
                <w:rFonts w:eastAsia="Calibri" w:cs="Tahoma"/>
                <w:b/>
                <w:bCs/>
                <w:color w:val="275317" w:themeColor="accent6" w:themeShade="80"/>
                <w:sz w:val="20"/>
                <w:szCs w:val="20"/>
              </w:rPr>
              <w:t>40</w:t>
            </w:r>
          </w:p>
        </w:tc>
        <w:tc>
          <w:tcPr>
            <w:tcW w:w="846" w:type="dxa"/>
            <w:tcMar>
              <w:left w:w="70" w:type="dxa"/>
              <w:right w:w="70" w:type="dxa"/>
            </w:tcMar>
            <w:vAlign w:val="center"/>
          </w:tcPr>
          <w:p w14:paraId="0CF7D212" w14:textId="77777777" w:rsidR="00DE3C06" w:rsidRPr="00422D9A" w:rsidRDefault="00DE3C06" w:rsidP="008A49D0">
            <w:pPr>
              <w:spacing w:after="0" w:line="276" w:lineRule="auto"/>
              <w:jc w:val="center"/>
              <w:rPr>
                <w:rFonts w:eastAsia="Calibri" w:cs="Tahoma"/>
                <w:b/>
                <w:bCs/>
                <w:color w:val="275317" w:themeColor="accent6" w:themeShade="80"/>
                <w:sz w:val="20"/>
                <w:szCs w:val="20"/>
              </w:rPr>
            </w:pPr>
            <w:r w:rsidRPr="00422D9A">
              <w:rPr>
                <w:rFonts w:eastAsia="Calibri" w:cs="Tahoma"/>
                <w:b/>
                <w:bCs/>
                <w:color w:val="275317" w:themeColor="accent6" w:themeShade="80"/>
                <w:sz w:val="20"/>
                <w:szCs w:val="20"/>
              </w:rPr>
              <w:t>15</w:t>
            </w:r>
          </w:p>
        </w:tc>
        <w:tc>
          <w:tcPr>
            <w:tcW w:w="1140" w:type="dxa"/>
            <w:tcMar>
              <w:left w:w="70" w:type="dxa"/>
              <w:right w:w="70" w:type="dxa"/>
            </w:tcMar>
            <w:vAlign w:val="center"/>
          </w:tcPr>
          <w:p w14:paraId="1A42B4AA" w14:textId="77777777" w:rsidR="00DE3C06" w:rsidRPr="00422D9A" w:rsidRDefault="00DE3C06" w:rsidP="008A49D0">
            <w:pPr>
              <w:spacing w:after="0" w:line="276" w:lineRule="auto"/>
              <w:jc w:val="center"/>
              <w:rPr>
                <w:rFonts w:eastAsia="Calibri" w:cs="Tahoma"/>
                <w:b/>
                <w:bCs/>
                <w:color w:val="275317" w:themeColor="accent6" w:themeShade="80"/>
                <w:sz w:val="20"/>
                <w:szCs w:val="20"/>
              </w:rPr>
            </w:pPr>
            <w:r w:rsidRPr="00422D9A">
              <w:rPr>
                <w:rFonts w:eastAsia="Calibri" w:cs="Tahoma"/>
                <w:b/>
                <w:bCs/>
                <w:color w:val="275317" w:themeColor="accent6" w:themeShade="80"/>
                <w:sz w:val="20"/>
                <w:szCs w:val="20"/>
              </w:rPr>
              <w:t>18</w:t>
            </w:r>
          </w:p>
        </w:tc>
        <w:tc>
          <w:tcPr>
            <w:tcW w:w="2268" w:type="dxa"/>
            <w:tcMar>
              <w:left w:w="70" w:type="dxa"/>
              <w:right w:w="70" w:type="dxa"/>
            </w:tcMar>
            <w:vAlign w:val="center"/>
          </w:tcPr>
          <w:p w14:paraId="0C19931C" w14:textId="77777777" w:rsidR="00DE3C06" w:rsidRPr="00422D9A" w:rsidRDefault="00DE3C06" w:rsidP="008A49D0">
            <w:pPr>
              <w:spacing w:after="0" w:line="276" w:lineRule="auto"/>
              <w:jc w:val="center"/>
              <w:rPr>
                <w:rFonts w:eastAsia="Calibri" w:cs="Tahoma"/>
                <w:b/>
                <w:bCs/>
                <w:color w:val="275317" w:themeColor="accent6" w:themeShade="80"/>
                <w:sz w:val="20"/>
                <w:szCs w:val="20"/>
              </w:rPr>
            </w:pPr>
            <w:r w:rsidRPr="00422D9A">
              <w:rPr>
                <w:rFonts w:eastAsia="Calibri" w:cs="Tahoma"/>
                <w:b/>
                <w:bCs/>
                <w:color w:val="275317" w:themeColor="accent6" w:themeShade="80"/>
                <w:sz w:val="20"/>
                <w:szCs w:val="20"/>
              </w:rPr>
              <w:t xml:space="preserve"> </w:t>
            </w:r>
          </w:p>
        </w:tc>
      </w:tr>
    </w:tbl>
    <w:p w14:paraId="02C53841" w14:textId="77777777" w:rsidR="00DE3C06" w:rsidRPr="000C5171" w:rsidRDefault="00DE3C06" w:rsidP="00DE3C06">
      <w:pPr>
        <w:spacing w:line="276" w:lineRule="auto"/>
        <w:ind w:left="709" w:hanging="1"/>
        <w:jc w:val="center"/>
        <w:rPr>
          <w:rFonts w:eastAsia="Nunito" w:cs="Tahoma"/>
          <w:sz w:val="22"/>
          <w:szCs w:val="22"/>
        </w:rPr>
      </w:pPr>
      <w:r w:rsidRPr="000C5171">
        <w:rPr>
          <w:rFonts w:eastAsia="Nunito" w:cs="Tahoma"/>
          <w:sz w:val="22"/>
          <w:szCs w:val="22"/>
        </w:rPr>
        <w:t>Fuente: ART</w:t>
      </w:r>
    </w:p>
    <w:p w14:paraId="630BC6D7" w14:textId="77777777" w:rsidR="00DE3C06" w:rsidRPr="000C5171" w:rsidRDefault="00DE3C06" w:rsidP="00DE3C06">
      <w:pPr>
        <w:spacing w:line="276" w:lineRule="auto"/>
        <w:ind w:hanging="1"/>
        <w:jc w:val="both"/>
        <w:rPr>
          <w:rFonts w:eastAsia="Nunito" w:cs="Tahoma"/>
          <w:sz w:val="22"/>
          <w:szCs w:val="22"/>
        </w:rPr>
      </w:pPr>
      <w:r w:rsidRPr="000C5171">
        <w:rPr>
          <w:rFonts w:eastAsia="Nunito" w:cs="Tahoma"/>
          <w:sz w:val="22"/>
          <w:szCs w:val="22"/>
        </w:rPr>
        <w:t>Respecto al plan de mejoramiento derivado de las tres auditorías vigentes relacionadas en el cuadro anterior, la entidad ha ejecutado las acciones establecidas logrando determinar la efectividad de 9 hallazgos.</w:t>
      </w:r>
    </w:p>
    <w:p w14:paraId="55D80CE9" w14:textId="77777777" w:rsidR="00DE3C06" w:rsidRPr="000C5171" w:rsidRDefault="00DE3C06" w:rsidP="00DE3C06">
      <w:pPr>
        <w:spacing w:line="276" w:lineRule="auto"/>
        <w:ind w:hanging="1"/>
        <w:jc w:val="both"/>
        <w:rPr>
          <w:rFonts w:eastAsia="Nunito" w:cs="Tahoma"/>
          <w:sz w:val="22"/>
          <w:szCs w:val="22"/>
        </w:rPr>
      </w:pPr>
      <w:r w:rsidRPr="000C5171">
        <w:rPr>
          <w:rFonts w:eastAsia="Nunito" w:cs="Tahoma"/>
          <w:sz w:val="22"/>
          <w:szCs w:val="22"/>
        </w:rPr>
        <w:t xml:space="preserve">Al corte del 31 de diciembre de 2025, se reportan 15 hallazgos abiertos asociados a 18 acciones de mejora. Cabe aclarar que las acciones suscritas para los 6 hallazgos derivados de la auditoría de </w:t>
      </w:r>
      <w:proofErr w:type="gramStart"/>
      <w:r w:rsidRPr="000C5171">
        <w:rPr>
          <w:rFonts w:eastAsia="Nunito" w:cs="Tahoma"/>
          <w:sz w:val="22"/>
          <w:szCs w:val="22"/>
        </w:rPr>
        <w:t>2025,</w:t>
      </w:r>
      <w:proofErr w:type="gramEnd"/>
      <w:r w:rsidRPr="000C5171">
        <w:rPr>
          <w:rFonts w:eastAsia="Nunito" w:cs="Tahoma"/>
          <w:sz w:val="22"/>
          <w:szCs w:val="22"/>
        </w:rPr>
        <w:t xml:space="preserve"> fueron formalizadas el 24 de diciembre de 2025, con una fecha final de ejecución prevista para marzo, julio y diciembre de 2026. </w:t>
      </w:r>
    </w:p>
    <w:p w14:paraId="5C741937" w14:textId="77777777" w:rsidR="00DE3C06" w:rsidRPr="000C5171" w:rsidRDefault="00DE3C06" w:rsidP="00DE3C06">
      <w:pPr>
        <w:spacing w:line="276" w:lineRule="auto"/>
        <w:ind w:hanging="1"/>
        <w:jc w:val="both"/>
        <w:rPr>
          <w:rFonts w:cs="Tahoma"/>
          <w:sz w:val="22"/>
          <w:szCs w:val="22"/>
        </w:rPr>
      </w:pPr>
      <w:r w:rsidRPr="000C5171">
        <w:rPr>
          <w:rFonts w:eastAsia="Nunito" w:cs="Tahoma"/>
          <w:sz w:val="22"/>
          <w:szCs w:val="22"/>
        </w:rPr>
        <w:t xml:space="preserve">En relación con los 9 hallazgos restantes, se presentan 40 actividades ejecutadas en su totalidad y cinco se encuentran con una ejecución del 80%; no obstante, su cierre administrativo está supeditado a la validación de </w:t>
      </w:r>
      <w:r w:rsidRPr="000C5171">
        <w:rPr>
          <w:rFonts w:eastAsia="Nunito" w:cs="Tahoma"/>
          <w:b/>
          <w:bCs/>
          <w:sz w:val="22"/>
          <w:szCs w:val="22"/>
        </w:rPr>
        <w:t>efectividad</w:t>
      </w:r>
      <w:r w:rsidRPr="000C5171">
        <w:rPr>
          <w:rFonts w:eastAsia="Nunito" w:cs="Tahoma"/>
          <w:sz w:val="22"/>
          <w:szCs w:val="22"/>
        </w:rPr>
        <w:t>, la cual se llevará a cabo en el mes de julio de 2026.</w:t>
      </w:r>
      <w:r w:rsidRPr="000C5171">
        <w:rPr>
          <w:rFonts w:cs="Tahoma"/>
          <w:sz w:val="22"/>
          <w:szCs w:val="22"/>
        </w:rPr>
        <w:t xml:space="preserve"> </w:t>
      </w:r>
    </w:p>
    <w:p w14:paraId="6CF83343" w14:textId="77777777" w:rsidR="00DE3C06" w:rsidRPr="000C5171" w:rsidRDefault="00DE3C06" w:rsidP="00DE3C06">
      <w:pPr>
        <w:spacing w:line="276" w:lineRule="auto"/>
        <w:ind w:hanging="1"/>
        <w:jc w:val="both"/>
        <w:rPr>
          <w:rFonts w:cs="Tahoma"/>
          <w:sz w:val="22"/>
          <w:szCs w:val="22"/>
        </w:rPr>
      </w:pPr>
      <w:r w:rsidRPr="000C5171">
        <w:rPr>
          <w:rFonts w:cs="Tahoma"/>
          <w:b/>
          <w:bCs/>
          <w:sz w:val="22"/>
          <w:szCs w:val="22"/>
        </w:rPr>
        <w:lastRenderedPageBreak/>
        <w:t>Plan de mejoramiento En curso:</w:t>
      </w:r>
      <w:r w:rsidRPr="000C5171">
        <w:rPr>
          <w:rFonts w:cs="Tahoma"/>
          <w:sz w:val="22"/>
          <w:szCs w:val="22"/>
        </w:rPr>
        <w:t xml:space="preserve"> Se encuentra la elaboración del plan de mejoramiento producto del informe final de la auditoría intersectorial de gestión del punto 1 de la Reforma Rural Integral adelantada por la Contraloría General de la República (CGR)</w:t>
      </w:r>
    </w:p>
    <w:p w14:paraId="08D37AD8" w14:textId="77777777" w:rsidR="00DE3C06" w:rsidRPr="000C5171" w:rsidRDefault="00DE3C06" w:rsidP="00DE3C06">
      <w:pPr>
        <w:spacing w:line="276" w:lineRule="auto"/>
        <w:ind w:hanging="1"/>
        <w:jc w:val="both"/>
        <w:rPr>
          <w:rFonts w:cs="Tahoma"/>
          <w:sz w:val="22"/>
          <w:szCs w:val="22"/>
        </w:rPr>
      </w:pPr>
      <w:r w:rsidRPr="000C5171">
        <w:rPr>
          <w:rFonts w:cs="Tahoma"/>
          <w:b/>
          <w:bCs/>
          <w:sz w:val="22"/>
          <w:szCs w:val="22"/>
        </w:rPr>
        <w:t>Auditorías en curso:</w:t>
      </w:r>
      <w:r w:rsidRPr="000C5171">
        <w:rPr>
          <w:rFonts w:cs="Tahoma"/>
          <w:sz w:val="22"/>
          <w:szCs w:val="22"/>
        </w:rPr>
        <w:t xml:space="preserve"> Auditoria Financiera a la vigencia 2025 por la Contraloría General de República a adelantarse entre el 9 de julio hasta el 15 de diciembre de 2026 la cual una vez termine puede dar lugar a hallazgos y posterior suscripción de planes de mejoramiento. La auditoría financiera se instala del julio de 2026.</w:t>
      </w:r>
    </w:p>
    <w:p w14:paraId="341C5A5B" w14:textId="77777777" w:rsidR="00DE3C06" w:rsidRPr="000C5171" w:rsidRDefault="00DE3C06" w:rsidP="00DE3C06">
      <w:pPr>
        <w:pStyle w:val="Ttulo1"/>
        <w:spacing w:line="276" w:lineRule="auto"/>
        <w:rPr>
          <w:rFonts w:cs="Tahoma"/>
          <w:color w:val="0070C0"/>
        </w:rPr>
      </w:pPr>
      <w:bookmarkStart w:id="55" w:name="_Toc234168115"/>
      <w:r w:rsidRPr="000C5171">
        <w:rPr>
          <w:rFonts w:cs="Tahoma"/>
          <w:color w:val="0070C0"/>
        </w:rPr>
        <w:t>10.5 Mapa de riesgos de la entidad</w:t>
      </w:r>
      <w:bookmarkEnd w:id="55"/>
      <w:r w:rsidRPr="000C5171">
        <w:rPr>
          <w:rFonts w:cs="Tahoma"/>
          <w:color w:val="0070C0"/>
        </w:rPr>
        <w:t xml:space="preserve"> </w:t>
      </w:r>
      <w:r w:rsidRPr="000C5171">
        <w:rPr>
          <w:rFonts w:cs="Tahoma"/>
          <w:color w:val="0070C0"/>
        </w:rPr>
        <w:tab/>
      </w:r>
      <w:r w:rsidRPr="000C5171">
        <w:rPr>
          <w:rFonts w:cs="Tahoma"/>
          <w:color w:val="0070C0"/>
        </w:rPr>
        <w:tab/>
      </w:r>
    </w:p>
    <w:p w14:paraId="3EC31D24" w14:textId="77777777" w:rsidR="00DE3C06" w:rsidRPr="000C5171" w:rsidRDefault="00DE3C06" w:rsidP="00DE3C06">
      <w:pPr>
        <w:spacing w:line="276" w:lineRule="auto"/>
        <w:jc w:val="both"/>
        <w:rPr>
          <w:rFonts w:cs="Tahoma"/>
          <w:sz w:val="22"/>
          <w:szCs w:val="22"/>
        </w:rPr>
      </w:pPr>
      <w:r w:rsidRPr="000C5171">
        <w:rPr>
          <w:rFonts w:cs="Tahoma"/>
          <w:sz w:val="22"/>
          <w:szCs w:val="22"/>
        </w:rPr>
        <w:t>La ART cuenta con un Mapa de Riesgos Institucional administrado conforme al Modelo Integrado de Planeación y Gestión – MIPG. Para el presente proceso de empalme del Gobierno nacional, se comparte la matriz de riesgos correspondiente a la vigencia 2025, con corte a diciembre de 2025, la cual se presenta en archivo Excel. (</w:t>
      </w:r>
      <w:r w:rsidRPr="000C5171">
        <w:rPr>
          <w:rFonts w:eastAsia="Arial" w:cs="Tahoma"/>
          <w:b/>
          <w:bCs/>
          <w:sz w:val="22"/>
          <w:szCs w:val="22"/>
          <w:u w:val="single"/>
        </w:rPr>
        <w:t>ANEXO</w:t>
      </w:r>
      <w:r w:rsidRPr="000C5171">
        <w:rPr>
          <w:rFonts w:cs="Tahoma"/>
          <w:b/>
          <w:bCs/>
          <w:sz w:val="22"/>
          <w:szCs w:val="22"/>
        </w:rPr>
        <w:t xml:space="preserve"> 33 </w:t>
      </w:r>
      <w:r w:rsidRPr="000C5171">
        <w:rPr>
          <w:rFonts w:cs="Tahoma"/>
          <w:sz w:val="22"/>
          <w:szCs w:val="22"/>
        </w:rPr>
        <w:t xml:space="preserve">Mapa de Riesgos) </w:t>
      </w:r>
    </w:p>
    <w:p w14:paraId="5E41BDE0" w14:textId="77777777" w:rsidR="00DE3C06" w:rsidRPr="000C5171" w:rsidRDefault="00DE3C06" w:rsidP="00DE3C06">
      <w:pPr>
        <w:spacing w:line="276" w:lineRule="auto"/>
        <w:jc w:val="both"/>
        <w:rPr>
          <w:rFonts w:cs="Tahoma"/>
          <w:sz w:val="22"/>
          <w:szCs w:val="22"/>
        </w:rPr>
      </w:pPr>
      <w:r w:rsidRPr="000C5171">
        <w:rPr>
          <w:rFonts w:cs="Tahoma"/>
          <w:sz w:val="22"/>
          <w:szCs w:val="22"/>
        </w:rPr>
        <w:t>En el archivo anexo, se relacionan los riesgos según su clasificación y se efectúa la marcación en la columna “clase de riesgo” con color verde para aquellos que hacen parte de los riesgos de corrupción.</w:t>
      </w:r>
    </w:p>
    <w:p w14:paraId="1B1E2560" w14:textId="77777777" w:rsidR="00DE3C06" w:rsidRPr="000C5171" w:rsidRDefault="00DE3C06" w:rsidP="00DE3C06">
      <w:pPr>
        <w:spacing w:line="276" w:lineRule="auto"/>
        <w:jc w:val="both"/>
        <w:rPr>
          <w:rFonts w:eastAsiaTheme="minorEastAsia" w:cs="Tahoma"/>
          <w:sz w:val="22"/>
          <w:szCs w:val="22"/>
        </w:rPr>
      </w:pPr>
      <w:r w:rsidRPr="000C5171">
        <w:rPr>
          <w:rFonts w:cs="Tahoma"/>
          <w:sz w:val="22"/>
          <w:szCs w:val="22"/>
        </w:rPr>
        <w:t xml:space="preserve">De manera interna, los mapas de riesgos institucionales se encuentran consolidados y disponibles en la plataforma MARTE, en la carpeta de la Oficina de Planeación, en la siguiente </w:t>
      </w:r>
      <w:proofErr w:type="gramStart"/>
      <w:r w:rsidRPr="000C5171">
        <w:rPr>
          <w:rFonts w:cs="Tahoma"/>
          <w:sz w:val="22"/>
          <w:szCs w:val="22"/>
        </w:rPr>
        <w:t>ruta :</w:t>
      </w:r>
      <w:proofErr w:type="gramEnd"/>
      <w:r w:rsidRPr="000C5171">
        <w:rPr>
          <w:rFonts w:cs="Tahoma"/>
          <w:sz w:val="22"/>
          <w:szCs w:val="22"/>
        </w:rPr>
        <w:t xml:space="preserve"> </w:t>
      </w:r>
      <w:hyperlink r:id="rId24" w:history="1">
        <w:r w:rsidRPr="000C5171">
          <w:rPr>
            <w:rStyle w:val="Hipervnculo"/>
            <w:rFonts w:cs="Tahoma"/>
            <w:color w:val="auto"/>
            <w:sz w:val="22"/>
            <w:szCs w:val="22"/>
          </w:rPr>
          <w:t xml:space="preserve">\\marte\OF_PLANEACION\25\130.028 PLANES\130.028.012 </w:t>
        </w:r>
        <w:proofErr w:type="spellStart"/>
        <w:r w:rsidRPr="000C5171">
          <w:rPr>
            <w:rStyle w:val="Hipervnculo"/>
            <w:rFonts w:cs="Tahoma"/>
            <w:color w:val="auto"/>
            <w:sz w:val="22"/>
            <w:szCs w:val="22"/>
          </w:rPr>
          <w:t>PlanGesRg</w:t>
        </w:r>
        <w:proofErr w:type="spellEnd"/>
        <w:r w:rsidRPr="000C5171">
          <w:rPr>
            <w:rStyle w:val="Hipervnculo"/>
            <w:rFonts w:cs="Tahoma"/>
            <w:color w:val="auto"/>
            <w:sz w:val="22"/>
            <w:szCs w:val="22"/>
          </w:rPr>
          <w:t>\</w:t>
        </w:r>
        <w:proofErr w:type="spellStart"/>
        <w:r w:rsidRPr="000C5171">
          <w:rPr>
            <w:rStyle w:val="Hipervnculo"/>
            <w:rFonts w:cs="Tahoma"/>
            <w:color w:val="auto"/>
            <w:sz w:val="22"/>
            <w:szCs w:val="22"/>
          </w:rPr>
          <w:t>Seg_Riesg</w:t>
        </w:r>
        <w:proofErr w:type="spellEnd"/>
      </w:hyperlink>
      <w:r w:rsidRPr="000C5171">
        <w:rPr>
          <w:rStyle w:val="Refdenotaalpie"/>
          <w:rFonts w:cs="Tahoma"/>
          <w:sz w:val="22"/>
          <w:szCs w:val="22"/>
        </w:rPr>
        <w:footnoteReference w:id="41"/>
      </w:r>
    </w:p>
    <w:p w14:paraId="6E8C9609" w14:textId="77777777" w:rsidR="00DE3C06" w:rsidRPr="000C5171" w:rsidRDefault="00DE3C06" w:rsidP="00DE3C06">
      <w:pPr>
        <w:spacing w:line="276" w:lineRule="auto"/>
        <w:jc w:val="both"/>
        <w:rPr>
          <w:rFonts w:cs="Tahoma"/>
          <w:sz w:val="22"/>
          <w:szCs w:val="22"/>
        </w:rPr>
      </w:pPr>
      <w:r w:rsidRPr="000C5171">
        <w:rPr>
          <w:rFonts w:cs="Tahoma"/>
          <w:sz w:val="22"/>
          <w:szCs w:val="22"/>
        </w:rPr>
        <w:t>La Oficina de Planeación realiza seguimiento trimestral al Mapa de Riesgos Institucional, verificando la evolución de los riesgos, la aplicación de controles y los planes de tratamiento, con el acompañamiento de las auditorías y seguimientos a cargo de la Oficina de Control Interno, en el marco del Sistema de Control Interno de la entidad.</w:t>
      </w:r>
    </w:p>
    <w:p w14:paraId="2264C005" w14:textId="77777777" w:rsidR="00DE3C06" w:rsidRPr="000C5171" w:rsidRDefault="00DE3C06" w:rsidP="00DE3C06">
      <w:pPr>
        <w:spacing w:line="276" w:lineRule="auto"/>
        <w:rPr>
          <w:rFonts w:cs="Tahoma"/>
          <w:sz w:val="22"/>
          <w:szCs w:val="22"/>
        </w:rPr>
      </w:pPr>
    </w:p>
    <w:p w14:paraId="0E275743" w14:textId="77777777" w:rsidR="00DE3C06" w:rsidRPr="000C5171" w:rsidRDefault="00DE3C06">
      <w:pPr>
        <w:pStyle w:val="Ttulo1"/>
        <w:numPr>
          <w:ilvl w:val="0"/>
          <w:numId w:val="2"/>
        </w:numPr>
        <w:spacing w:line="276" w:lineRule="auto"/>
        <w:ind w:left="0" w:firstLine="0"/>
        <w:jc w:val="both"/>
        <w:rPr>
          <w:rFonts w:cs="Tahoma"/>
        </w:rPr>
      </w:pPr>
      <w:bookmarkStart w:id="56" w:name="_Toc234168116"/>
      <w:r w:rsidRPr="000C5171">
        <w:rPr>
          <w:rFonts w:cs="Tahoma"/>
        </w:rPr>
        <w:lastRenderedPageBreak/>
        <w:t>TEMAS PRIORITARIOS TÉCNICOS Y ESTRATÉGICOS</w:t>
      </w:r>
      <w:bookmarkEnd w:id="56"/>
    </w:p>
    <w:p w14:paraId="164B57D8" w14:textId="77777777" w:rsidR="00DE3C06" w:rsidRPr="000C5171" w:rsidRDefault="00DE3C06" w:rsidP="00DE3C06">
      <w:r w:rsidRPr="000C5171">
        <w:rPr>
          <w:rFonts w:cs="Tahoma"/>
          <w:sz w:val="22"/>
          <w:szCs w:val="22"/>
        </w:rPr>
        <w:t>A continuación, se mencionan los temas prioritarios identificados a la fecha, no obstante, se precisa que adicional a los temas técnicos, la ART tiene temas estratégicos de relevancia que son importantes mencionar en este ítem, por lo cual se incluye dicha información.</w:t>
      </w:r>
    </w:p>
    <w:p w14:paraId="6375BD47" w14:textId="77777777" w:rsidR="00DE3C06" w:rsidRPr="000C5171" w:rsidRDefault="00DE3C06" w:rsidP="00DE3C06">
      <w:pPr>
        <w:spacing w:line="276" w:lineRule="auto"/>
        <w:rPr>
          <w:sz w:val="22"/>
          <w:szCs w:val="22"/>
        </w:rPr>
      </w:pPr>
    </w:p>
    <w:p w14:paraId="36EB3565" w14:textId="77777777" w:rsidR="00DE3C06" w:rsidRPr="000C5171" w:rsidRDefault="00DE3C06" w:rsidP="00DE3C06">
      <w:pPr>
        <w:pStyle w:val="Ttulo1"/>
        <w:spacing w:line="276" w:lineRule="auto"/>
        <w:rPr>
          <w:rFonts w:cs="Tahoma"/>
          <w:color w:val="0070C0"/>
        </w:rPr>
      </w:pPr>
      <w:bookmarkStart w:id="57" w:name="_Toc234168117"/>
      <w:r w:rsidRPr="000C5171">
        <w:rPr>
          <w:rFonts w:cs="Tahoma"/>
          <w:color w:val="0070C0"/>
        </w:rPr>
        <w:t>11.1. Temas Prioritarios Técnicos ART</w:t>
      </w:r>
      <w:bookmarkEnd w:id="57"/>
    </w:p>
    <w:p w14:paraId="786C2D0B" w14:textId="77777777" w:rsidR="00DE3C06" w:rsidRPr="000C5171" w:rsidRDefault="00DE3C06">
      <w:pPr>
        <w:pStyle w:val="Prrafodelista"/>
        <w:numPr>
          <w:ilvl w:val="0"/>
          <w:numId w:val="32"/>
        </w:numPr>
        <w:spacing w:line="276" w:lineRule="auto"/>
        <w:ind w:left="426" w:hanging="425"/>
        <w:rPr>
          <w:rFonts w:cs="Tahoma"/>
          <w:sz w:val="22"/>
          <w:szCs w:val="22"/>
        </w:rPr>
      </w:pPr>
      <w:r w:rsidRPr="000C5171">
        <w:rPr>
          <w:rFonts w:cs="Tahoma"/>
          <w:sz w:val="22"/>
          <w:szCs w:val="22"/>
        </w:rPr>
        <w:t xml:space="preserve">A continuación, se presentan los temas prioritarios de nivel técnico con la descripción corta de acciones en desarrollo o </w:t>
      </w:r>
      <w:proofErr w:type="gramStart"/>
      <w:r w:rsidRPr="000C5171">
        <w:rPr>
          <w:rFonts w:cs="Tahoma"/>
          <w:sz w:val="22"/>
          <w:szCs w:val="22"/>
        </w:rPr>
        <w:t>a</w:t>
      </w:r>
      <w:proofErr w:type="gramEnd"/>
      <w:r w:rsidRPr="000C5171">
        <w:rPr>
          <w:rFonts w:cs="Tahoma"/>
          <w:sz w:val="22"/>
          <w:szCs w:val="22"/>
        </w:rPr>
        <w:t xml:space="preserve"> tener en cuenta:  </w:t>
      </w:r>
    </w:p>
    <w:p w14:paraId="6908F887" w14:textId="77777777" w:rsidR="00DE3C06" w:rsidRPr="000C5171" w:rsidRDefault="00DE3C06" w:rsidP="00DE3C06">
      <w:pPr>
        <w:spacing w:line="276" w:lineRule="auto"/>
        <w:jc w:val="center"/>
        <w:rPr>
          <w:rFonts w:cs="Arial"/>
          <w:b/>
          <w:bCs/>
          <w:sz w:val="22"/>
          <w:szCs w:val="22"/>
        </w:rPr>
      </w:pPr>
      <w:r w:rsidRPr="000C5171">
        <w:rPr>
          <w:rFonts w:cs="Arial"/>
          <w:b/>
          <w:bCs/>
          <w:sz w:val="22"/>
          <w:szCs w:val="22"/>
        </w:rPr>
        <w:t>TABLA 21</w:t>
      </w:r>
      <w:r w:rsidRPr="000C5171">
        <w:rPr>
          <w:rFonts w:cs="Arial"/>
          <w:sz w:val="22"/>
          <w:szCs w:val="22"/>
        </w:rPr>
        <w:t>. Temas Técnicos de Relevancia</w:t>
      </w:r>
    </w:p>
    <w:tbl>
      <w:tblPr>
        <w:tblStyle w:val="Tablaconcuadrcula7concolores-nfasis31"/>
        <w:tblW w:w="858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0"/>
        <w:gridCol w:w="2481"/>
        <w:gridCol w:w="5449"/>
      </w:tblGrid>
      <w:tr w:rsidR="00DE3C06" w:rsidRPr="000C5171" w14:paraId="7FE7ECE6" w14:textId="77777777" w:rsidTr="008A49D0">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650"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hideMark/>
          </w:tcPr>
          <w:p w14:paraId="183344DD" w14:textId="77777777" w:rsidR="00DE3C06" w:rsidRPr="00422D9A" w:rsidRDefault="00DE3C06" w:rsidP="008A49D0">
            <w:pPr>
              <w:rPr>
                <w:rFonts w:asciiTheme="minorHAnsi" w:eastAsia="Arial" w:hAnsiTheme="minorHAnsi" w:cs="Arial"/>
                <w:color w:val="275317" w:themeColor="accent6" w:themeShade="80"/>
                <w:sz w:val="20"/>
                <w:szCs w:val="20"/>
                <w:u w:val="single"/>
              </w:rPr>
            </w:pPr>
            <w:r w:rsidRPr="00422D9A">
              <w:rPr>
                <w:rFonts w:asciiTheme="minorHAnsi" w:eastAsia="Arial" w:hAnsiTheme="minorHAnsi" w:cs="Arial"/>
                <w:color w:val="275317" w:themeColor="accent6" w:themeShade="80"/>
                <w:sz w:val="20"/>
                <w:szCs w:val="20"/>
                <w:u w:val="single"/>
                <w:lang w:val="es-CO"/>
              </w:rPr>
              <w:t>Nro.</w:t>
            </w:r>
          </w:p>
        </w:tc>
        <w:tc>
          <w:tcPr>
            <w:tcW w:w="2481"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hideMark/>
          </w:tcPr>
          <w:p w14:paraId="01E58265" w14:textId="77777777" w:rsidR="00DE3C06" w:rsidRPr="00422D9A" w:rsidRDefault="00DE3C06" w:rsidP="008A49D0">
            <w:pP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Arial"/>
                <w:color w:val="275317" w:themeColor="accent6" w:themeShade="80"/>
                <w:sz w:val="20"/>
                <w:szCs w:val="20"/>
                <w:u w:val="single"/>
              </w:rPr>
            </w:pPr>
            <w:r w:rsidRPr="00422D9A">
              <w:rPr>
                <w:rFonts w:asciiTheme="minorHAnsi" w:eastAsia="Arial" w:hAnsiTheme="minorHAnsi" w:cs="Arial"/>
                <w:color w:val="275317" w:themeColor="accent6" w:themeShade="80"/>
                <w:sz w:val="20"/>
                <w:szCs w:val="20"/>
                <w:u w:val="single"/>
                <w:lang w:val="es-CO"/>
              </w:rPr>
              <w:t>Tema</w:t>
            </w:r>
          </w:p>
        </w:tc>
        <w:tc>
          <w:tcPr>
            <w:tcW w:w="5449"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hideMark/>
          </w:tcPr>
          <w:p w14:paraId="5CC80154" w14:textId="77777777" w:rsidR="00DE3C06" w:rsidRPr="00422D9A" w:rsidRDefault="00DE3C06" w:rsidP="008A49D0">
            <w:pP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Arial"/>
                <w:color w:val="275317" w:themeColor="accent6" w:themeShade="80"/>
                <w:sz w:val="20"/>
                <w:szCs w:val="20"/>
                <w:u w:val="single"/>
              </w:rPr>
            </w:pPr>
            <w:r w:rsidRPr="00422D9A">
              <w:rPr>
                <w:rFonts w:asciiTheme="minorHAnsi" w:eastAsia="Arial" w:hAnsiTheme="minorHAnsi" w:cs="Arial"/>
                <w:color w:val="275317" w:themeColor="accent6" w:themeShade="80"/>
                <w:sz w:val="20"/>
                <w:szCs w:val="20"/>
                <w:u w:val="single"/>
                <w:lang w:val="es-CO"/>
              </w:rPr>
              <w:t>Descripción</w:t>
            </w:r>
          </w:p>
        </w:tc>
      </w:tr>
      <w:tr w:rsidR="00DE3C06" w:rsidRPr="000C5171" w14:paraId="42EA4819" w14:textId="77777777" w:rsidTr="008A49D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0" w:type="dxa"/>
            <w:tcBorders>
              <w:top w:val="single" w:sz="4" w:space="0" w:color="auto"/>
              <w:left w:val="single" w:sz="4" w:space="0" w:color="auto"/>
              <w:bottom w:val="single" w:sz="4" w:space="0" w:color="auto"/>
              <w:right w:val="single" w:sz="4" w:space="0" w:color="auto"/>
            </w:tcBorders>
            <w:shd w:val="clear" w:color="auto" w:fill="C1F0C7" w:themeFill="accent3" w:themeFillTint="33"/>
            <w:tcMar>
              <w:top w:w="0" w:type="dxa"/>
              <w:left w:w="105" w:type="dxa"/>
              <w:bottom w:w="0" w:type="dxa"/>
              <w:right w:w="105" w:type="dxa"/>
            </w:tcMar>
          </w:tcPr>
          <w:p w14:paraId="7F782E49" w14:textId="77777777" w:rsidR="00DE3C06" w:rsidRPr="00422D9A" w:rsidRDefault="00DE3C06" w:rsidP="008A49D0">
            <w:pPr>
              <w:rPr>
                <w:rFonts w:asciiTheme="minorHAnsi" w:eastAsia="Arial" w:hAnsiTheme="minorHAnsi" w:cs="Arial"/>
                <w:color w:val="275317" w:themeColor="accent6" w:themeShade="80"/>
                <w:sz w:val="20"/>
                <w:szCs w:val="20"/>
              </w:rPr>
            </w:pPr>
          </w:p>
          <w:p w14:paraId="409494BD" w14:textId="77777777" w:rsidR="00DE3C06" w:rsidRPr="00422D9A" w:rsidRDefault="00DE3C06" w:rsidP="008A49D0">
            <w:pPr>
              <w:rPr>
                <w:rFonts w:asciiTheme="minorHAnsi" w:eastAsia="Arial" w:hAnsiTheme="minorHAnsi" w:cs="Arial"/>
                <w:color w:val="275317" w:themeColor="accent6" w:themeShade="80"/>
                <w:sz w:val="20"/>
                <w:szCs w:val="20"/>
              </w:rPr>
            </w:pPr>
          </w:p>
          <w:p w14:paraId="1F1AF7FF" w14:textId="77777777" w:rsidR="00DE3C06" w:rsidRPr="00422D9A" w:rsidRDefault="00DE3C06" w:rsidP="008A49D0">
            <w:pPr>
              <w:rPr>
                <w:rFonts w:asciiTheme="minorHAnsi" w:eastAsia="Arial" w:hAnsiTheme="minorHAnsi" w:cs="Arial"/>
                <w:i w:val="0"/>
                <w:iCs w:val="0"/>
                <w:color w:val="275317" w:themeColor="accent6" w:themeShade="80"/>
                <w:sz w:val="20"/>
                <w:szCs w:val="20"/>
              </w:rPr>
            </w:pPr>
            <w:r w:rsidRPr="00422D9A">
              <w:rPr>
                <w:rFonts w:asciiTheme="minorHAnsi" w:eastAsia="Arial" w:hAnsiTheme="minorHAnsi" w:cs="Arial"/>
                <w:i w:val="0"/>
                <w:iCs w:val="0"/>
                <w:color w:val="275317" w:themeColor="accent6" w:themeShade="80"/>
                <w:sz w:val="20"/>
                <w:szCs w:val="20"/>
              </w:rPr>
              <w:t>1</w:t>
            </w:r>
          </w:p>
        </w:tc>
        <w:tc>
          <w:tcPr>
            <w:tcW w:w="2481"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14:paraId="68A8A33D" w14:textId="77777777" w:rsidR="00DE3C06" w:rsidRPr="00422D9A" w:rsidRDefault="00DE3C06" w:rsidP="008A49D0">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Arial"/>
                <w:color w:val="275317" w:themeColor="accent6" w:themeShade="80"/>
                <w:sz w:val="20"/>
                <w:szCs w:val="20"/>
              </w:rPr>
            </w:pPr>
            <w:r w:rsidRPr="00422D9A">
              <w:rPr>
                <w:rFonts w:asciiTheme="minorHAnsi" w:hAnsiTheme="minorHAnsi"/>
                <w:color w:val="275317" w:themeColor="accent6" w:themeShade="80"/>
                <w:sz w:val="20"/>
                <w:szCs w:val="20"/>
              </w:rPr>
              <w:t>Ejecución de la Ruta de implementación de los PATR revisados y actualizados</w:t>
            </w:r>
          </w:p>
        </w:tc>
        <w:tc>
          <w:tcPr>
            <w:tcW w:w="5449"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14:paraId="288B3E71" w14:textId="77777777" w:rsidR="00DE3C06" w:rsidRPr="00422D9A" w:rsidRDefault="00DE3C06" w:rsidP="008A49D0">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olor w:val="275317" w:themeColor="accent6" w:themeShade="80"/>
                <w:sz w:val="20"/>
                <w:szCs w:val="20"/>
              </w:rPr>
            </w:pPr>
            <w:r w:rsidRPr="00422D9A">
              <w:rPr>
                <w:rFonts w:asciiTheme="minorHAnsi" w:hAnsiTheme="minorHAnsi"/>
                <w:color w:val="275317" w:themeColor="accent6" w:themeShade="80"/>
                <w:sz w:val="20"/>
                <w:szCs w:val="20"/>
              </w:rPr>
              <w:t>La Ruta de Implementación es el marco operativo que organiza, de manera secuenciada y verificable, cómo se pone en marcha lo definido en los PATR revisados y actualizados, estableciendo las prioridades de incidencia a nivel nacional, regional, departamental y municipal, con el fin de asegurar la inclusión de estos planes, en especial su capítulo de programas y proyectos, en los instrumentos de planificación estratégicos nacionales y territoriales, dentro del ciclo de presupuestación. Incluye también los ajustes normativos e institucionales para mejorar los procesos de gestión, coordinación y ejecución para la implementación. La ruta comprende cinco componentes complementarios entre sí: (i) incidencia para incorporar y articular el PATR en instrumentos estratégicos de planeación e inversión, y fuentes de financiación; (</w:t>
            </w:r>
            <w:proofErr w:type="spellStart"/>
            <w:r w:rsidRPr="00422D9A">
              <w:rPr>
                <w:rFonts w:asciiTheme="minorHAnsi" w:hAnsiTheme="minorHAnsi"/>
                <w:color w:val="275317" w:themeColor="accent6" w:themeShade="80"/>
                <w:sz w:val="20"/>
                <w:szCs w:val="20"/>
              </w:rPr>
              <w:t>ii</w:t>
            </w:r>
            <w:proofErr w:type="spellEnd"/>
            <w:r w:rsidRPr="00422D9A">
              <w:rPr>
                <w:rFonts w:asciiTheme="minorHAnsi" w:hAnsiTheme="minorHAnsi"/>
                <w:color w:val="275317" w:themeColor="accent6" w:themeShade="80"/>
                <w:sz w:val="20"/>
                <w:szCs w:val="20"/>
              </w:rPr>
              <w:t>) fortalecimiento de capacidades institucionales y comunitarias; (</w:t>
            </w:r>
            <w:proofErr w:type="spellStart"/>
            <w:r w:rsidRPr="00422D9A">
              <w:rPr>
                <w:rFonts w:asciiTheme="minorHAnsi" w:hAnsiTheme="minorHAnsi"/>
                <w:color w:val="275317" w:themeColor="accent6" w:themeShade="80"/>
                <w:sz w:val="20"/>
                <w:szCs w:val="20"/>
              </w:rPr>
              <w:t>iii</w:t>
            </w:r>
            <w:proofErr w:type="spellEnd"/>
            <w:r w:rsidRPr="00422D9A">
              <w:rPr>
                <w:rFonts w:asciiTheme="minorHAnsi" w:hAnsiTheme="minorHAnsi"/>
                <w:color w:val="275317" w:themeColor="accent6" w:themeShade="80"/>
                <w:sz w:val="20"/>
                <w:szCs w:val="20"/>
              </w:rPr>
              <w:t>) rediseño de la arquitectura institucional; (</w:t>
            </w:r>
            <w:proofErr w:type="spellStart"/>
            <w:r w:rsidRPr="00422D9A">
              <w:rPr>
                <w:rFonts w:asciiTheme="minorHAnsi" w:hAnsiTheme="minorHAnsi"/>
                <w:color w:val="275317" w:themeColor="accent6" w:themeShade="80"/>
                <w:sz w:val="20"/>
                <w:szCs w:val="20"/>
              </w:rPr>
              <w:t>iv</w:t>
            </w:r>
            <w:proofErr w:type="spellEnd"/>
            <w:r w:rsidRPr="00422D9A">
              <w:rPr>
                <w:rFonts w:asciiTheme="minorHAnsi" w:hAnsiTheme="minorHAnsi"/>
                <w:color w:val="275317" w:themeColor="accent6" w:themeShade="80"/>
                <w:sz w:val="20"/>
                <w:szCs w:val="20"/>
              </w:rPr>
              <w:t>) ajustes normativos; y (v) una estrategia de pedagogía y comunicación.</w:t>
            </w:r>
          </w:p>
          <w:p w14:paraId="00E74262" w14:textId="77777777" w:rsidR="00DE3C06" w:rsidRPr="00422D9A" w:rsidRDefault="00DE3C06" w:rsidP="008A49D0">
            <w:pPr>
              <w:jc w:val="both"/>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Arial"/>
                <w:color w:val="275317" w:themeColor="accent6" w:themeShade="80"/>
                <w:sz w:val="20"/>
                <w:szCs w:val="20"/>
              </w:rPr>
            </w:pPr>
            <w:r w:rsidRPr="00422D9A">
              <w:rPr>
                <w:rFonts w:asciiTheme="minorHAnsi" w:hAnsiTheme="minorHAnsi"/>
                <w:color w:val="275317" w:themeColor="accent6" w:themeShade="80"/>
                <w:sz w:val="20"/>
                <w:szCs w:val="20"/>
              </w:rPr>
              <w:t xml:space="preserve">Corresponde al próximo Gobierno asegurar continuidad y escalamiento: adoptar y operativizar los lineamientos de articulación Nación–Territorio, incorporar de manera trazable las prioridades territoriales en el Plan Nacional de Desarrollo y su Plan Plurianual de Inversiones, así como orientar a los sectores para que reflejen la estructura programática del PATR revisados y actualizados en su programación anual y en los instrumentos de seguimiento. Así mismo, le corresponde fortalecer las instancias de coordinación interinstitucional y garantizar condiciones para la participación incidente y el </w:t>
            </w:r>
            <w:r w:rsidRPr="00422D9A">
              <w:rPr>
                <w:rFonts w:asciiTheme="minorHAnsi" w:hAnsiTheme="minorHAnsi"/>
                <w:color w:val="275317" w:themeColor="accent6" w:themeShade="80"/>
                <w:sz w:val="20"/>
                <w:szCs w:val="20"/>
              </w:rPr>
              <w:lastRenderedPageBreak/>
              <w:t>control social, de manera que la implementación se consolide como una política de Estado con resultados verificables en los territorios.</w:t>
            </w:r>
          </w:p>
        </w:tc>
      </w:tr>
      <w:tr w:rsidR="00DE3C06" w:rsidRPr="000C5171" w14:paraId="68A45B8F" w14:textId="77777777" w:rsidTr="008A49D0">
        <w:trPr>
          <w:trHeight w:val="300"/>
        </w:trPr>
        <w:tc>
          <w:tcPr>
            <w:cnfStyle w:val="001000000000" w:firstRow="0" w:lastRow="0" w:firstColumn="1" w:lastColumn="0" w:oddVBand="0" w:evenVBand="0" w:oddHBand="0" w:evenHBand="0" w:firstRowFirstColumn="0" w:firstRowLastColumn="0" w:lastRowFirstColumn="0" w:lastRowLastColumn="0"/>
            <w:tcW w:w="650" w:type="dxa"/>
            <w:tcBorders>
              <w:top w:val="single" w:sz="4" w:space="0" w:color="auto"/>
              <w:left w:val="single" w:sz="4" w:space="0" w:color="auto"/>
              <w:bottom w:val="single" w:sz="4" w:space="0" w:color="auto"/>
              <w:right w:val="single" w:sz="4" w:space="0" w:color="auto"/>
            </w:tcBorders>
            <w:shd w:val="clear" w:color="auto" w:fill="C1F0C7" w:themeFill="accent3" w:themeFillTint="33"/>
            <w:tcMar>
              <w:top w:w="0" w:type="dxa"/>
              <w:left w:w="105" w:type="dxa"/>
              <w:bottom w:w="0" w:type="dxa"/>
              <w:right w:w="105" w:type="dxa"/>
            </w:tcMar>
            <w:hideMark/>
          </w:tcPr>
          <w:p w14:paraId="30DCBE27" w14:textId="77777777" w:rsidR="00DE3C06" w:rsidRPr="00422D9A" w:rsidRDefault="00DE3C06" w:rsidP="008A49D0">
            <w:pPr>
              <w:rPr>
                <w:rFonts w:asciiTheme="minorHAnsi" w:eastAsia="Arial" w:hAnsiTheme="minorHAnsi" w:cs="Arial"/>
                <w:color w:val="275317" w:themeColor="accent6" w:themeShade="80"/>
                <w:sz w:val="20"/>
                <w:szCs w:val="20"/>
                <w:u w:val="single"/>
              </w:rPr>
            </w:pPr>
            <w:r w:rsidRPr="00422D9A">
              <w:rPr>
                <w:rFonts w:asciiTheme="minorHAnsi" w:eastAsia="Arial" w:hAnsiTheme="minorHAnsi" w:cs="Arial"/>
                <w:color w:val="275317" w:themeColor="accent6" w:themeShade="80"/>
                <w:sz w:val="20"/>
                <w:szCs w:val="20"/>
                <w:u w:val="single"/>
              </w:rPr>
              <w:lastRenderedPageBreak/>
              <w:t>2</w:t>
            </w:r>
          </w:p>
        </w:tc>
        <w:tc>
          <w:tcPr>
            <w:tcW w:w="2481"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14:paraId="1F779FA8" w14:textId="77777777" w:rsidR="00DE3C06" w:rsidRPr="00422D9A" w:rsidRDefault="00DE3C06" w:rsidP="008A49D0">
            <w:pP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Arial"/>
                <w:color w:val="275317" w:themeColor="accent6" w:themeShade="80"/>
                <w:sz w:val="20"/>
                <w:szCs w:val="20"/>
              </w:rPr>
            </w:pPr>
            <w:r w:rsidRPr="00422D9A">
              <w:rPr>
                <w:rFonts w:asciiTheme="minorHAnsi" w:eastAsia="Arial" w:hAnsiTheme="minorHAnsi" w:cs="Arial"/>
                <w:color w:val="275317" w:themeColor="accent6" w:themeShade="80"/>
                <w:sz w:val="20"/>
                <w:szCs w:val="20"/>
              </w:rPr>
              <w:t>Actualización del Esquema de Seguimiento y Evaluación PDET</w:t>
            </w:r>
          </w:p>
          <w:p w14:paraId="4B34C06E" w14:textId="77777777" w:rsidR="00DE3C06" w:rsidRPr="00422D9A" w:rsidRDefault="00DE3C06" w:rsidP="008A49D0">
            <w:pP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Arial"/>
                <w:color w:val="275317" w:themeColor="accent6" w:themeShade="80"/>
                <w:sz w:val="20"/>
                <w:szCs w:val="20"/>
              </w:rPr>
            </w:pPr>
          </w:p>
          <w:p w14:paraId="41C711FB" w14:textId="77777777" w:rsidR="00DE3C06" w:rsidRPr="00422D9A" w:rsidRDefault="00DE3C06" w:rsidP="008A49D0">
            <w:pP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Arial"/>
                <w:b/>
                <w:bCs/>
                <w:color w:val="275317" w:themeColor="accent6" w:themeShade="80"/>
                <w:sz w:val="20"/>
                <w:szCs w:val="20"/>
              </w:rPr>
            </w:pPr>
          </w:p>
        </w:tc>
        <w:tc>
          <w:tcPr>
            <w:tcW w:w="5449"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14:paraId="0D0991BE" w14:textId="77777777" w:rsidR="00DE3C06" w:rsidRPr="00422D9A" w:rsidRDefault="00DE3C06" w:rsidP="008A49D0">
            <w:pPr>
              <w:jc w:val="both"/>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Arial"/>
                <w:color w:val="275317" w:themeColor="accent6" w:themeShade="80"/>
                <w:sz w:val="20"/>
                <w:szCs w:val="20"/>
              </w:rPr>
            </w:pPr>
            <w:r w:rsidRPr="00422D9A">
              <w:rPr>
                <w:rFonts w:asciiTheme="minorHAnsi" w:eastAsia="Arial" w:hAnsiTheme="minorHAnsi" w:cs="Arial"/>
                <w:color w:val="275317" w:themeColor="accent6" w:themeShade="80"/>
                <w:sz w:val="20"/>
                <w:szCs w:val="20"/>
              </w:rPr>
              <w:t>Actualizar y alinear el esquema de seguimiento definido en la Resolución 000650 de 2021, con miras a fortalecer los mecanismos que permiten identificar el avance en la implementación de los PDET, de acuerdo con la nueva estructura de los PATR revisados y actualizados, considerando el tránsito de un seguimiento centrado en iniciativas, a un seguimiento más estratégico y presupuestal entorno a los capítulos de programas y proyectos e indicadores de resultados.</w:t>
            </w:r>
          </w:p>
          <w:p w14:paraId="4328EB68" w14:textId="77777777" w:rsidR="00DE3C06" w:rsidRPr="00422D9A" w:rsidRDefault="00DE3C06" w:rsidP="008A49D0">
            <w:pPr>
              <w:jc w:val="both"/>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Arial"/>
                <w:color w:val="275317" w:themeColor="accent6" w:themeShade="80"/>
                <w:sz w:val="20"/>
                <w:szCs w:val="20"/>
              </w:rPr>
            </w:pPr>
          </w:p>
          <w:p w14:paraId="13DBD644" w14:textId="77777777" w:rsidR="00DE3C06" w:rsidRPr="00422D9A" w:rsidRDefault="00DE3C06" w:rsidP="008A49D0">
            <w:pPr>
              <w:jc w:val="both"/>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Arial"/>
                <w:color w:val="275317" w:themeColor="accent6" w:themeShade="80"/>
                <w:sz w:val="20"/>
                <w:szCs w:val="20"/>
              </w:rPr>
            </w:pPr>
            <w:r w:rsidRPr="00422D9A">
              <w:rPr>
                <w:rFonts w:asciiTheme="minorHAnsi" w:eastAsia="Arial" w:hAnsiTheme="minorHAnsi" w:cs="Arial"/>
                <w:color w:val="275317" w:themeColor="accent6" w:themeShade="80"/>
                <w:sz w:val="20"/>
                <w:szCs w:val="20"/>
              </w:rPr>
              <w:t xml:space="preserve">Igualmente, en el marco de la ruta de incidencia de los PATR revisados y actualizados, establecer mecanismos de articulación y coordinación institucional con los diferentes sectores nacionales para fortalecer y complementar las mediciones que permitan realizar un seguimiento efectivo a los resultados de transformación y cierre de brechas, planteados en los capítulos de programas y proyectos de los PATR revisados y actualizados.  </w:t>
            </w:r>
          </w:p>
          <w:p w14:paraId="73B7AE3D" w14:textId="77777777" w:rsidR="00DE3C06" w:rsidRPr="00422D9A" w:rsidRDefault="00DE3C06" w:rsidP="008A49D0">
            <w:pPr>
              <w:jc w:val="both"/>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Arial"/>
                <w:color w:val="275317" w:themeColor="accent6" w:themeShade="80"/>
                <w:sz w:val="20"/>
                <w:szCs w:val="20"/>
              </w:rPr>
            </w:pPr>
          </w:p>
        </w:tc>
      </w:tr>
      <w:tr w:rsidR="00DE3C06" w:rsidRPr="000C5171" w14:paraId="051DCED9" w14:textId="77777777" w:rsidTr="008A49D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0" w:type="dxa"/>
            <w:tcBorders>
              <w:top w:val="single" w:sz="4" w:space="0" w:color="auto"/>
              <w:left w:val="single" w:sz="4" w:space="0" w:color="auto"/>
              <w:bottom w:val="single" w:sz="4" w:space="0" w:color="auto"/>
              <w:right w:val="single" w:sz="4" w:space="0" w:color="auto"/>
            </w:tcBorders>
            <w:shd w:val="clear" w:color="auto" w:fill="C1F0C7" w:themeFill="accent3" w:themeFillTint="33"/>
            <w:tcMar>
              <w:top w:w="0" w:type="dxa"/>
              <w:left w:w="105" w:type="dxa"/>
              <w:bottom w:w="0" w:type="dxa"/>
              <w:right w:w="105" w:type="dxa"/>
            </w:tcMar>
            <w:hideMark/>
          </w:tcPr>
          <w:p w14:paraId="04597177" w14:textId="77777777" w:rsidR="00DE3C06" w:rsidRPr="00422D9A" w:rsidRDefault="00DE3C06" w:rsidP="008A49D0">
            <w:pPr>
              <w:rPr>
                <w:rFonts w:asciiTheme="minorHAnsi" w:eastAsia="Arial" w:hAnsiTheme="minorHAnsi" w:cs="Arial"/>
                <w:color w:val="275317" w:themeColor="accent6" w:themeShade="80"/>
                <w:sz w:val="20"/>
                <w:szCs w:val="20"/>
                <w:u w:val="single"/>
              </w:rPr>
            </w:pPr>
            <w:r w:rsidRPr="00422D9A">
              <w:rPr>
                <w:rFonts w:asciiTheme="minorHAnsi" w:eastAsia="Arial" w:hAnsiTheme="minorHAnsi" w:cs="Arial"/>
                <w:color w:val="275317" w:themeColor="accent6" w:themeShade="80"/>
                <w:sz w:val="20"/>
                <w:szCs w:val="20"/>
              </w:rPr>
              <w:t>3</w:t>
            </w:r>
          </w:p>
        </w:tc>
        <w:tc>
          <w:tcPr>
            <w:tcW w:w="2481"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hideMark/>
          </w:tcPr>
          <w:p w14:paraId="7662A703" w14:textId="77777777" w:rsidR="00DE3C06" w:rsidRPr="00422D9A" w:rsidRDefault="00DE3C06" w:rsidP="008A49D0">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Arial"/>
                <w:color w:val="275317" w:themeColor="accent6" w:themeShade="80"/>
                <w:sz w:val="20"/>
                <w:szCs w:val="20"/>
              </w:rPr>
            </w:pPr>
            <w:r w:rsidRPr="00422D9A">
              <w:rPr>
                <w:rFonts w:asciiTheme="minorHAnsi" w:eastAsia="Arial" w:hAnsiTheme="minorHAnsi" w:cs="Arial"/>
                <w:color w:val="275317" w:themeColor="accent6" w:themeShade="80"/>
                <w:sz w:val="20"/>
                <w:szCs w:val="20"/>
              </w:rPr>
              <w:t>Diseño y desarrollo del nuevo sistema de información y rediseño de la Central PDET</w:t>
            </w:r>
          </w:p>
        </w:tc>
        <w:tc>
          <w:tcPr>
            <w:tcW w:w="5449"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hideMark/>
          </w:tcPr>
          <w:p w14:paraId="41AE148D" w14:textId="77777777" w:rsidR="00DE3C06" w:rsidRPr="00422D9A" w:rsidRDefault="00DE3C06" w:rsidP="008A49D0">
            <w:pPr>
              <w:jc w:val="both"/>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Arial"/>
                <w:color w:val="275317" w:themeColor="accent6" w:themeShade="80"/>
                <w:sz w:val="20"/>
                <w:szCs w:val="20"/>
              </w:rPr>
            </w:pPr>
            <w:r w:rsidRPr="00422D9A">
              <w:rPr>
                <w:rFonts w:asciiTheme="minorHAnsi" w:eastAsia="Arial" w:hAnsiTheme="minorHAnsi" w:cs="Arial"/>
                <w:color w:val="275317" w:themeColor="accent6" w:themeShade="80"/>
                <w:sz w:val="20"/>
                <w:szCs w:val="20"/>
              </w:rPr>
              <w:t xml:space="preserve">A raíz del cambio en el esquema de seguimiento y evaluación, que exige los PATR revisados y actualizados, es necesario ajustar el sistema de información misional, de tal manera que como herramienta facilite la función de administración, gestión y seguimiento de todo el ciclo de los programas y proyectos, desde el registro hasta la generación de reportes. Este sistema de información debe gestionar las funcionalidades actuales que se mantengan en la nueva operación, así como las nuevas funcionalidades que se identifiquen e incluye el Banco de Proyectos, </w:t>
            </w:r>
            <w:proofErr w:type="gramStart"/>
            <w:r w:rsidRPr="00422D9A">
              <w:rPr>
                <w:rFonts w:asciiTheme="minorHAnsi" w:eastAsia="Arial" w:hAnsiTheme="minorHAnsi" w:cs="Arial"/>
                <w:color w:val="275317" w:themeColor="accent6" w:themeShade="80"/>
                <w:sz w:val="20"/>
                <w:szCs w:val="20"/>
              </w:rPr>
              <w:t>de acuerdo a</w:t>
            </w:r>
            <w:proofErr w:type="gramEnd"/>
            <w:r w:rsidRPr="00422D9A">
              <w:rPr>
                <w:rFonts w:asciiTheme="minorHAnsi" w:eastAsia="Arial" w:hAnsiTheme="minorHAnsi" w:cs="Arial"/>
                <w:color w:val="275317" w:themeColor="accent6" w:themeShade="80"/>
                <w:sz w:val="20"/>
                <w:szCs w:val="20"/>
              </w:rPr>
              <w:t xml:space="preserve"> como lo establece el Decreto Ley 2366 de 2015, numeral 10 del artículo 4 y el Decreto Ley 893 del 2017, artículo 10.</w:t>
            </w:r>
          </w:p>
          <w:p w14:paraId="4E5745CE" w14:textId="77777777" w:rsidR="00DE3C06" w:rsidRPr="00422D9A" w:rsidRDefault="00DE3C06" w:rsidP="008A49D0">
            <w:pPr>
              <w:jc w:val="both"/>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Arial"/>
                <w:color w:val="275317" w:themeColor="accent6" w:themeShade="80"/>
                <w:sz w:val="20"/>
                <w:szCs w:val="20"/>
              </w:rPr>
            </w:pPr>
            <w:r w:rsidRPr="00422D9A">
              <w:rPr>
                <w:rFonts w:asciiTheme="minorHAnsi" w:eastAsia="Arial" w:hAnsiTheme="minorHAnsi" w:cs="Arial"/>
                <w:color w:val="275317" w:themeColor="accent6" w:themeShade="80"/>
                <w:sz w:val="20"/>
                <w:szCs w:val="20"/>
              </w:rPr>
              <w:t>Igualmente, el rediseño de la Central PDET, para que dé cuenta del inicio de la implementación de los PATR revisados y actualizados.</w:t>
            </w:r>
          </w:p>
        </w:tc>
      </w:tr>
      <w:tr w:rsidR="00DE3C06" w:rsidRPr="000C5171" w14:paraId="57449C65" w14:textId="77777777" w:rsidTr="008A49D0">
        <w:trPr>
          <w:trHeight w:val="1473"/>
        </w:trPr>
        <w:tc>
          <w:tcPr>
            <w:cnfStyle w:val="001000000000" w:firstRow="0" w:lastRow="0" w:firstColumn="1" w:lastColumn="0" w:oddVBand="0" w:evenVBand="0" w:oddHBand="0" w:evenHBand="0" w:firstRowFirstColumn="0" w:firstRowLastColumn="0" w:lastRowFirstColumn="0" w:lastRowLastColumn="0"/>
            <w:tcW w:w="650" w:type="dxa"/>
            <w:tcBorders>
              <w:top w:val="single" w:sz="4" w:space="0" w:color="auto"/>
              <w:left w:val="single" w:sz="4" w:space="0" w:color="auto"/>
              <w:bottom w:val="single" w:sz="4" w:space="0" w:color="auto"/>
              <w:right w:val="single" w:sz="4" w:space="0" w:color="auto"/>
            </w:tcBorders>
            <w:shd w:val="clear" w:color="auto" w:fill="C1F0C7" w:themeFill="accent3" w:themeFillTint="33"/>
            <w:tcMar>
              <w:top w:w="0" w:type="dxa"/>
              <w:left w:w="105" w:type="dxa"/>
              <w:bottom w:w="0" w:type="dxa"/>
              <w:right w:w="105" w:type="dxa"/>
            </w:tcMar>
            <w:hideMark/>
          </w:tcPr>
          <w:p w14:paraId="63951A98" w14:textId="77777777" w:rsidR="00DE3C06" w:rsidRPr="00422D9A" w:rsidRDefault="00DE3C06" w:rsidP="008A49D0">
            <w:pPr>
              <w:rPr>
                <w:rFonts w:asciiTheme="minorHAnsi" w:eastAsia="Arial" w:hAnsiTheme="minorHAnsi" w:cs="Arial"/>
                <w:color w:val="275317" w:themeColor="accent6" w:themeShade="80"/>
                <w:sz w:val="20"/>
                <w:szCs w:val="20"/>
              </w:rPr>
            </w:pPr>
            <w:r w:rsidRPr="00422D9A">
              <w:rPr>
                <w:rFonts w:asciiTheme="minorHAnsi" w:eastAsia="Arial" w:hAnsiTheme="minorHAnsi" w:cs="Arial"/>
                <w:color w:val="275317" w:themeColor="accent6" w:themeShade="80"/>
                <w:sz w:val="20"/>
                <w:szCs w:val="20"/>
              </w:rPr>
              <w:t>4</w:t>
            </w:r>
          </w:p>
        </w:tc>
        <w:tc>
          <w:tcPr>
            <w:tcW w:w="2481"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hideMark/>
          </w:tcPr>
          <w:p w14:paraId="6A2A2929" w14:textId="77777777" w:rsidR="00DE3C06" w:rsidRPr="00422D9A" w:rsidRDefault="00DE3C06" w:rsidP="008A49D0">
            <w:pP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Arial"/>
                <w:color w:val="275317" w:themeColor="accent6" w:themeShade="80"/>
                <w:sz w:val="20"/>
                <w:szCs w:val="20"/>
                <w:lang w:val="es-CO"/>
              </w:rPr>
            </w:pPr>
            <w:r w:rsidRPr="00422D9A">
              <w:rPr>
                <w:rFonts w:asciiTheme="minorHAnsi" w:eastAsia="Arial" w:hAnsiTheme="minorHAnsi" w:cs="Arial"/>
                <w:color w:val="275317" w:themeColor="accent6" w:themeShade="80"/>
                <w:sz w:val="20"/>
                <w:szCs w:val="20"/>
              </w:rPr>
              <w:t>Interoperabilidad Plataforma Integrada de Inversión Pública (PIIP)</w:t>
            </w:r>
          </w:p>
        </w:tc>
        <w:tc>
          <w:tcPr>
            <w:tcW w:w="5449"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hideMark/>
          </w:tcPr>
          <w:p w14:paraId="6E79F1F8" w14:textId="77777777" w:rsidR="00DE3C06" w:rsidRPr="00422D9A" w:rsidRDefault="00DE3C06" w:rsidP="008A49D0">
            <w:pPr>
              <w:jc w:val="both"/>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Arial"/>
                <w:color w:val="275317" w:themeColor="accent6" w:themeShade="80"/>
                <w:sz w:val="20"/>
                <w:szCs w:val="20"/>
              </w:rPr>
            </w:pPr>
            <w:r w:rsidRPr="00422D9A">
              <w:rPr>
                <w:rFonts w:asciiTheme="minorHAnsi" w:eastAsia="Arial" w:hAnsiTheme="minorHAnsi" w:cs="Arial"/>
                <w:color w:val="275317" w:themeColor="accent6" w:themeShade="80"/>
                <w:sz w:val="20"/>
                <w:szCs w:val="20"/>
              </w:rPr>
              <w:t>En el marco del nuevo sistema de información se requiere la puesta en operación del servicio de interoperabilidad con la PIIP para los proyectos Nación, Territorio y Sistema General de Regalías – SGR.</w:t>
            </w:r>
          </w:p>
        </w:tc>
      </w:tr>
      <w:tr w:rsidR="00DE3C06" w:rsidRPr="000C5171" w14:paraId="3D71D7A0" w14:textId="77777777" w:rsidTr="008A49D0">
        <w:trPr>
          <w:cnfStyle w:val="000000100000" w:firstRow="0" w:lastRow="0" w:firstColumn="0" w:lastColumn="0" w:oddVBand="0" w:evenVBand="0" w:oddHBand="1" w:evenHBand="0" w:firstRowFirstColumn="0" w:firstRowLastColumn="0" w:lastRowFirstColumn="0" w:lastRowLastColumn="0"/>
          <w:trHeight w:val="3540"/>
        </w:trPr>
        <w:tc>
          <w:tcPr>
            <w:cnfStyle w:val="001000000000" w:firstRow="0" w:lastRow="0" w:firstColumn="1" w:lastColumn="0" w:oddVBand="0" w:evenVBand="0" w:oddHBand="0" w:evenHBand="0" w:firstRowFirstColumn="0" w:firstRowLastColumn="0" w:lastRowFirstColumn="0" w:lastRowLastColumn="0"/>
            <w:tcW w:w="650" w:type="dxa"/>
            <w:tcBorders>
              <w:top w:val="single" w:sz="4" w:space="0" w:color="auto"/>
              <w:left w:val="single" w:sz="4" w:space="0" w:color="auto"/>
              <w:bottom w:val="single" w:sz="4" w:space="0" w:color="auto"/>
              <w:right w:val="single" w:sz="4" w:space="0" w:color="auto"/>
            </w:tcBorders>
            <w:shd w:val="clear" w:color="auto" w:fill="C1F0C7" w:themeFill="accent3" w:themeFillTint="33"/>
            <w:tcMar>
              <w:top w:w="0" w:type="dxa"/>
              <w:left w:w="105" w:type="dxa"/>
              <w:bottom w:w="0" w:type="dxa"/>
              <w:right w:w="105" w:type="dxa"/>
            </w:tcMar>
            <w:hideMark/>
          </w:tcPr>
          <w:p w14:paraId="7E30BEB5" w14:textId="77777777" w:rsidR="00DE3C06" w:rsidRPr="00422D9A" w:rsidRDefault="00DE3C06" w:rsidP="008A49D0">
            <w:pPr>
              <w:rPr>
                <w:rFonts w:asciiTheme="minorHAnsi" w:eastAsia="Arial" w:hAnsiTheme="minorHAnsi" w:cs="Arial"/>
                <w:color w:val="275317" w:themeColor="accent6" w:themeShade="80"/>
                <w:sz w:val="20"/>
                <w:szCs w:val="20"/>
              </w:rPr>
            </w:pPr>
            <w:r w:rsidRPr="00422D9A">
              <w:rPr>
                <w:rFonts w:asciiTheme="minorHAnsi" w:eastAsia="Arial" w:hAnsiTheme="minorHAnsi" w:cs="Arial"/>
                <w:color w:val="275317" w:themeColor="accent6" w:themeShade="80"/>
                <w:sz w:val="20"/>
                <w:szCs w:val="20"/>
              </w:rPr>
              <w:lastRenderedPageBreak/>
              <w:t>5</w:t>
            </w:r>
          </w:p>
        </w:tc>
        <w:tc>
          <w:tcPr>
            <w:tcW w:w="2481"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14:paraId="2F1114CD" w14:textId="77777777" w:rsidR="00DE3C06" w:rsidRPr="00422D9A" w:rsidRDefault="00DE3C06" w:rsidP="008A49D0">
            <w:pPr>
              <w:spacing w:line="360" w:lineRule="auto"/>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Arial"/>
                <w:color w:val="275317" w:themeColor="accent6" w:themeShade="80"/>
                <w:sz w:val="20"/>
                <w:szCs w:val="20"/>
                <w:lang w:val="es-CO"/>
              </w:rPr>
            </w:pPr>
            <w:r w:rsidRPr="00422D9A">
              <w:rPr>
                <w:rFonts w:asciiTheme="minorHAnsi" w:eastAsia="Arial" w:hAnsiTheme="minorHAnsi" w:cs="Arial"/>
                <w:color w:val="275317" w:themeColor="accent6" w:themeShade="80"/>
                <w:sz w:val="20"/>
                <w:szCs w:val="20"/>
                <w:lang w:val="es-CO"/>
              </w:rPr>
              <w:t>Evaluación de impacto a la implementación PDET</w:t>
            </w:r>
          </w:p>
          <w:p w14:paraId="3D57B771" w14:textId="77777777" w:rsidR="00DE3C06" w:rsidRPr="00422D9A" w:rsidRDefault="00DE3C06" w:rsidP="008A49D0">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Arial"/>
                <w:color w:val="275317" w:themeColor="accent6" w:themeShade="80"/>
                <w:sz w:val="20"/>
                <w:szCs w:val="20"/>
              </w:rPr>
            </w:pPr>
          </w:p>
        </w:tc>
        <w:tc>
          <w:tcPr>
            <w:tcW w:w="5449"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hideMark/>
          </w:tcPr>
          <w:p w14:paraId="69254204" w14:textId="77777777" w:rsidR="00DE3C06" w:rsidRPr="00422D9A" w:rsidRDefault="00DE3C06" w:rsidP="008A49D0">
            <w:pPr>
              <w:jc w:val="both"/>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Arial"/>
                <w:color w:val="275317" w:themeColor="accent6" w:themeShade="80"/>
                <w:sz w:val="20"/>
                <w:szCs w:val="20"/>
              </w:rPr>
            </w:pPr>
            <w:r w:rsidRPr="00422D9A">
              <w:rPr>
                <w:rFonts w:asciiTheme="minorHAnsi" w:eastAsia="Arial" w:hAnsiTheme="minorHAnsi" w:cs="Arial"/>
                <w:color w:val="275317" w:themeColor="accent6" w:themeShade="80"/>
                <w:sz w:val="20"/>
                <w:szCs w:val="20"/>
              </w:rPr>
              <w:t>En atención al Decreto Ley 893 de 2017 y a la Resolución 000650 de 2021 (que establece periodicidad máxima de 5 años para este tipo de evaluaciones), durante la vigencia 2026 se requiere adelantar el diseño metodológico y operativo de una nueva operación estadística, para actualizar los datos recolectados en el año 2022, para identificar el mejoramiento de las condiciones de vida de los territorios PDET. Lo anterior, como insumo para la evaluación de resultados e impacto de los PDET. Este es un ejercicio técnico, que delimita las necesidades presupuestales y operativas para el levantamiento de la nueva operación estadística.</w:t>
            </w:r>
          </w:p>
          <w:p w14:paraId="556276BB" w14:textId="77777777" w:rsidR="00DE3C06" w:rsidRPr="00422D9A" w:rsidRDefault="00DE3C06" w:rsidP="008A49D0">
            <w:pPr>
              <w:jc w:val="both"/>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Arial"/>
                <w:color w:val="275317" w:themeColor="accent6" w:themeShade="80"/>
                <w:sz w:val="20"/>
                <w:szCs w:val="20"/>
              </w:rPr>
            </w:pPr>
            <w:r w:rsidRPr="00422D9A">
              <w:rPr>
                <w:rFonts w:asciiTheme="minorHAnsi" w:eastAsia="Arial" w:hAnsiTheme="minorHAnsi" w:cs="Arial"/>
                <w:color w:val="275317" w:themeColor="accent6" w:themeShade="80"/>
                <w:sz w:val="20"/>
                <w:szCs w:val="20"/>
              </w:rPr>
              <w:t>En este marco, se continuará la gestión para estructurar un mecanismo administrativo de cooperación con el DANE, orientado a mejorar la representatividad estadística a nivel subregional PDET en las operaciones estadísticas —por ejemplo, para poder medir la pobreza multidimensional a ese nivel de desagregación</w:t>
            </w:r>
          </w:p>
        </w:tc>
      </w:tr>
      <w:tr w:rsidR="00DE3C06" w:rsidRPr="000C5171" w14:paraId="1330062B" w14:textId="77777777" w:rsidTr="008A49D0">
        <w:trPr>
          <w:trHeight w:val="3450"/>
        </w:trPr>
        <w:tc>
          <w:tcPr>
            <w:cnfStyle w:val="001000000000" w:firstRow="0" w:lastRow="0" w:firstColumn="1" w:lastColumn="0" w:oddVBand="0" w:evenVBand="0" w:oddHBand="0" w:evenHBand="0" w:firstRowFirstColumn="0" w:firstRowLastColumn="0" w:lastRowFirstColumn="0" w:lastRowLastColumn="0"/>
            <w:tcW w:w="650" w:type="dxa"/>
            <w:tcBorders>
              <w:top w:val="single" w:sz="4" w:space="0" w:color="auto"/>
              <w:left w:val="single" w:sz="4" w:space="0" w:color="auto"/>
              <w:bottom w:val="single" w:sz="4" w:space="0" w:color="auto"/>
              <w:right w:val="single" w:sz="4" w:space="0" w:color="auto"/>
            </w:tcBorders>
            <w:shd w:val="clear" w:color="auto" w:fill="C1F0C7" w:themeFill="accent3" w:themeFillTint="33"/>
            <w:tcMar>
              <w:top w:w="0" w:type="dxa"/>
              <w:left w:w="105" w:type="dxa"/>
              <w:bottom w:w="0" w:type="dxa"/>
              <w:right w:w="105" w:type="dxa"/>
            </w:tcMar>
            <w:hideMark/>
          </w:tcPr>
          <w:p w14:paraId="5369D9FC" w14:textId="77777777" w:rsidR="00DE3C06" w:rsidRPr="00422D9A" w:rsidRDefault="00DE3C06" w:rsidP="008A49D0">
            <w:pPr>
              <w:rPr>
                <w:rFonts w:asciiTheme="minorHAnsi" w:eastAsia="Arial" w:hAnsiTheme="minorHAnsi" w:cs="Arial"/>
                <w:color w:val="275317" w:themeColor="accent6" w:themeShade="80"/>
                <w:sz w:val="20"/>
                <w:szCs w:val="20"/>
              </w:rPr>
            </w:pPr>
            <w:r w:rsidRPr="00422D9A">
              <w:rPr>
                <w:rFonts w:asciiTheme="minorHAnsi" w:eastAsia="Arial" w:hAnsiTheme="minorHAnsi" w:cs="Arial"/>
                <w:color w:val="275317" w:themeColor="accent6" w:themeShade="80"/>
                <w:sz w:val="20"/>
                <w:szCs w:val="20"/>
              </w:rPr>
              <w:t>6</w:t>
            </w:r>
          </w:p>
        </w:tc>
        <w:tc>
          <w:tcPr>
            <w:tcW w:w="2481"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hideMark/>
          </w:tcPr>
          <w:p w14:paraId="1EDC6F9E" w14:textId="77777777" w:rsidR="00DE3C06" w:rsidRPr="00422D9A" w:rsidRDefault="00DE3C06" w:rsidP="008A49D0">
            <w:pPr>
              <w:spacing w:line="360" w:lineRule="auto"/>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Arial"/>
                <w:color w:val="275317" w:themeColor="accent6" w:themeShade="80"/>
                <w:sz w:val="20"/>
                <w:szCs w:val="20"/>
                <w:lang w:val="es-CO"/>
              </w:rPr>
            </w:pPr>
            <w:r w:rsidRPr="00422D9A">
              <w:rPr>
                <w:rFonts w:asciiTheme="minorHAnsi" w:eastAsia="Arial" w:hAnsiTheme="minorHAnsi" w:cs="Arial"/>
                <w:color w:val="275317" w:themeColor="accent6" w:themeShade="80"/>
                <w:sz w:val="20"/>
                <w:szCs w:val="20"/>
                <w:lang w:val="es-CO"/>
              </w:rPr>
              <w:t>Ley 2565 de 2026 sancionada el 12 de febrero de 2026 (Participación estudio técnico PDET)</w:t>
            </w:r>
          </w:p>
        </w:tc>
        <w:tc>
          <w:tcPr>
            <w:tcW w:w="5449"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hideMark/>
          </w:tcPr>
          <w:p w14:paraId="09B2B66D" w14:textId="77777777" w:rsidR="00DE3C06" w:rsidRPr="00422D9A" w:rsidRDefault="00DE3C06" w:rsidP="008A49D0">
            <w:pPr>
              <w:jc w:val="both"/>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Arial"/>
                <w:color w:val="275317" w:themeColor="accent6" w:themeShade="80"/>
                <w:sz w:val="20"/>
                <w:szCs w:val="20"/>
              </w:rPr>
            </w:pPr>
            <w:r w:rsidRPr="00422D9A">
              <w:rPr>
                <w:rFonts w:asciiTheme="minorHAnsi" w:eastAsia="Arial" w:hAnsiTheme="minorHAnsi" w:cs="Arial"/>
                <w:color w:val="275317" w:themeColor="accent6" w:themeShade="80"/>
                <w:sz w:val="20"/>
                <w:szCs w:val="20"/>
              </w:rPr>
              <w:t>Conforme a lo dispuesto en los artículos 5 y 7 de la Ley 2565 de 2026,</w:t>
            </w:r>
          </w:p>
          <w:p w14:paraId="280D25A7" w14:textId="77777777" w:rsidR="00DE3C06" w:rsidRPr="00422D9A" w:rsidRDefault="00DE3C06" w:rsidP="008A49D0">
            <w:pPr>
              <w:jc w:val="both"/>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Arial"/>
                <w:color w:val="275317" w:themeColor="accent6" w:themeShade="80"/>
                <w:sz w:val="20"/>
                <w:szCs w:val="20"/>
              </w:rPr>
            </w:pPr>
          </w:p>
          <w:p w14:paraId="1B6A3809" w14:textId="77777777" w:rsidR="00DE3C06" w:rsidRPr="00422D9A" w:rsidRDefault="00DE3C06" w:rsidP="008A49D0">
            <w:pPr>
              <w:jc w:val="both"/>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Arial"/>
                <w:color w:val="275317" w:themeColor="accent6" w:themeShade="80"/>
                <w:sz w:val="20"/>
                <w:szCs w:val="20"/>
              </w:rPr>
            </w:pPr>
            <w:r w:rsidRPr="00422D9A">
              <w:rPr>
                <w:rFonts w:asciiTheme="minorHAnsi" w:eastAsia="Arial" w:hAnsiTheme="minorHAnsi" w:cs="Arial"/>
                <w:color w:val="275317" w:themeColor="accent6" w:themeShade="80"/>
                <w:sz w:val="20"/>
                <w:szCs w:val="20"/>
              </w:rPr>
              <w:t>Artículo 5, que modifica el artículo 11 del Decreto Ley 893 de 2017, establece que la Agencia de Renovación del Territorio (ART) tiene la responsabilidad de participar la adopción de un programa de fortalecimiento de capacidades de los actores territoriales en los municipios beneficiarios de los PDET, en conjunto con el Ministerio del Interior, el Departamento Nacional de Planeación, y la Unidad de implementación del Acuerdo Final, el cual deberá presentarse en un plazo máximo de seis (6) meses a partir de la publicación de la Ley.</w:t>
            </w:r>
          </w:p>
          <w:p w14:paraId="54F465DE" w14:textId="77777777" w:rsidR="00DE3C06" w:rsidRPr="00422D9A" w:rsidRDefault="00DE3C06" w:rsidP="008A49D0">
            <w:pPr>
              <w:jc w:val="both"/>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Arial"/>
                <w:color w:val="275317" w:themeColor="accent6" w:themeShade="80"/>
                <w:sz w:val="20"/>
                <w:szCs w:val="20"/>
              </w:rPr>
            </w:pPr>
          </w:p>
          <w:p w14:paraId="3EF4E31E" w14:textId="77777777" w:rsidR="00DE3C06" w:rsidRPr="00422D9A" w:rsidRDefault="00DE3C06" w:rsidP="008A49D0">
            <w:pPr>
              <w:jc w:val="both"/>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Arial"/>
                <w:color w:val="275317" w:themeColor="accent6" w:themeShade="80"/>
                <w:sz w:val="20"/>
                <w:szCs w:val="20"/>
              </w:rPr>
            </w:pPr>
            <w:r w:rsidRPr="00422D9A">
              <w:rPr>
                <w:rFonts w:asciiTheme="minorHAnsi" w:eastAsia="Arial" w:hAnsiTheme="minorHAnsi" w:cs="Arial"/>
                <w:color w:val="275317" w:themeColor="accent6" w:themeShade="80"/>
                <w:sz w:val="20"/>
                <w:szCs w:val="20"/>
              </w:rPr>
              <w:t>Artículo 7 que adiciona un parágrafo al artículo 3 del Decreto Ley 893 de 2017, la Agencia de Renovación del Territorio (ART) tiene la responsabilidad de participar en la elaboración del estudio técnico sobre el avance de la implementación de los Programas de Desarrollo con Enfoque Territorial (PDET), en conjunto con el Ministerio de Hacienda en el marco de la comisión liderada por el DNP el cual deberá presentarse en un plazo máximo de un (1) año a partir de la publicación de la Ley. Entre otras disposiciones.</w:t>
            </w:r>
          </w:p>
          <w:p w14:paraId="53B9DE33" w14:textId="77777777" w:rsidR="00DE3C06" w:rsidRPr="00422D9A" w:rsidRDefault="00DE3C06" w:rsidP="008A49D0">
            <w:pPr>
              <w:jc w:val="both"/>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Arial"/>
                <w:color w:val="275317" w:themeColor="accent6" w:themeShade="80"/>
                <w:sz w:val="20"/>
                <w:szCs w:val="20"/>
              </w:rPr>
            </w:pPr>
            <w:r w:rsidRPr="00422D9A">
              <w:rPr>
                <w:rFonts w:asciiTheme="minorHAnsi" w:eastAsia="Arial" w:hAnsiTheme="minorHAnsi" w:cs="Arial"/>
                <w:color w:val="275317" w:themeColor="accent6" w:themeShade="80"/>
                <w:sz w:val="20"/>
                <w:szCs w:val="20"/>
              </w:rPr>
              <w:t>La Comisión ya se encuentra formalmente conformada bajo el liderazgo del Departamento Nacional de Planeación (DNP). En consecuencia, se requiere avanzar en la ejecución del plan de trabajo, con el fin de garantizar el cumplimiento de los compromisos y del plazo establecido</w:t>
            </w:r>
          </w:p>
          <w:p w14:paraId="1C8E1E60" w14:textId="77777777" w:rsidR="00DE3C06" w:rsidRPr="00422D9A" w:rsidRDefault="00DE3C06" w:rsidP="008A49D0">
            <w:pPr>
              <w:jc w:val="both"/>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Arial"/>
                <w:color w:val="275317" w:themeColor="accent6" w:themeShade="80"/>
                <w:sz w:val="20"/>
                <w:szCs w:val="20"/>
              </w:rPr>
            </w:pPr>
          </w:p>
        </w:tc>
      </w:tr>
      <w:tr w:rsidR="00DE3C06" w:rsidRPr="000C5171" w14:paraId="3BC523B7" w14:textId="77777777" w:rsidTr="008A49D0">
        <w:trPr>
          <w:cnfStyle w:val="000000100000" w:firstRow="0" w:lastRow="0" w:firstColumn="0" w:lastColumn="0" w:oddVBand="0" w:evenVBand="0" w:oddHBand="1" w:evenHBand="0" w:firstRowFirstColumn="0" w:firstRowLastColumn="0" w:lastRowFirstColumn="0" w:lastRowLastColumn="0"/>
          <w:trHeight w:val="2826"/>
        </w:trPr>
        <w:tc>
          <w:tcPr>
            <w:cnfStyle w:val="001000000000" w:firstRow="0" w:lastRow="0" w:firstColumn="1" w:lastColumn="0" w:oddVBand="0" w:evenVBand="0" w:oddHBand="0" w:evenHBand="0" w:firstRowFirstColumn="0" w:firstRowLastColumn="0" w:lastRowFirstColumn="0" w:lastRowLastColumn="0"/>
            <w:tcW w:w="650" w:type="dxa"/>
            <w:tcBorders>
              <w:top w:val="single" w:sz="4" w:space="0" w:color="auto"/>
              <w:left w:val="single" w:sz="4" w:space="0" w:color="auto"/>
              <w:bottom w:val="single" w:sz="4" w:space="0" w:color="auto"/>
              <w:right w:val="single" w:sz="4" w:space="0" w:color="auto"/>
            </w:tcBorders>
            <w:shd w:val="clear" w:color="auto" w:fill="C1F0C7" w:themeFill="accent3" w:themeFillTint="33"/>
            <w:tcMar>
              <w:top w:w="0" w:type="dxa"/>
              <w:left w:w="105" w:type="dxa"/>
              <w:bottom w:w="0" w:type="dxa"/>
              <w:right w:w="105" w:type="dxa"/>
            </w:tcMar>
          </w:tcPr>
          <w:p w14:paraId="3469696D" w14:textId="77777777" w:rsidR="00DE3C06" w:rsidRPr="00422D9A" w:rsidRDefault="00DE3C06" w:rsidP="008A49D0">
            <w:pPr>
              <w:rPr>
                <w:rFonts w:asciiTheme="minorHAnsi" w:hAnsiTheme="minorHAnsi"/>
                <w:color w:val="275317" w:themeColor="accent6" w:themeShade="80"/>
                <w:sz w:val="20"/>
                <w:szCs w:val="20"/>
              </w:rPr>
            </w:pPr>
            <w:r w:rsidRPr="00422D9A">
              <w:rPr>
                <w:rFonts w:asciiTheme="minorHAnsi" w:hAnsiTheme="minorHAnsi"/>
                <w:color w:val="275317" w:themeColor="accent6" w:themeShade="80"/>
                <w:sz w:val="20"/>
                <w:szCs w:val="20"/>
              </w:rPr>
              <w:lastRenderedPageBreak/>
              <w:t>7</w:t>
            </w:r>
          </w:p>
        </w:tc>
        <w:tc>
          <w:tcPr>
            <w:tcW w:w="2481"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14:paraId="4AFE5137" w14:textId="77777777" w:rsidR="00DE3C06" w:rsidRPr="00422D9A" w:rsidRDefault="00DE3C06" w:rsidP="008A49D0">
            <w:pPr>
              <w:spacing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275317" w:themeColor="accent6" w:themeShade="80"/>
                <w:sz w:val="20"/>
                <w:szCs w:val="20"/>
              </w:rPr>
            </w:pPr>
            <w:r w:rsidRPr="00422D9A">
              <w:rPr>
                <w:rFonts w:asciiTheme="minorHAnsi" w:hAnsiTheme="minorHAnsi"/>
                <w:color w:val="275317" w:themeColor="accent6" w:themeShade="80"/>
                <w:sz w:val="20"/>
                <w:szCs w:val="20"/>
              </w:rPr>
              <w:t>Incidencia del Plan Nacional de Desarrollo, la Ley de Bienio 2027-2028 del SGR, el Presupuesto General de la Nación (PGN) 2027 y otros desarrollos normativos</w:t>
            </w:r>
          </w:p>
        </w:tc>
        <w:tc>
          <w:tcPr>
            <w:tcW w:w="5449"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14:paraId="197E83EC" w14:textId="77777777" w:rsidR="00DE3C06" w:rsidRPr="00422D9A" w:rsidRDefault="00DE3C06" w:rsidP="008A49D0">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olor w:val="275317" w:themeColor="accent6" w:themeShade="80"/>
                <w:sz w:val="20"/>
                <w:szCs w:val="20"/>
              </w:rPr>
            </w:pPr>
            <w:r w:rsidRPr="00422D9A">
              <w:rPr>
                <w:rFonts w:asciiTheme="minorHAnsi" w:hAnsiTheme="minorHAnsi"/>
                <w:color w:val="275317" w:themeColor="accent6" w:themeShade="80"/>
                <w:sz w:val="20"/>
                <w:szCs w:val="20"/>
              </w:rPr>
              <w:t>Incidencia estratégica en la formulación del nuevo Plan Nacional de Desarrollo 2026-2030 con el Departamento Nacional de Planeación, para la ejecución de la ruta de implementación del PATR revisado y actualizado, para: a) Incluir en el Plan Plurianual de Inversiones el componente específico para la paz  conforme lo dispuesto por el Acto Legislativo 01 de 2016; b) Garantizar que los recursos de la Asignación para la Paz se distribuyan en bolsas subregionales, cuenten con el puntaje establecido con criterios objetivos y trazables; y se definan, viabilicen y seleccionen mediante convocatorias públicas y términos de referencia; c) mantener la faculta de la ART para expedir el certificado de concordancia; d) seguimiento a las metas del PMI y de los PNS por las entidades nacionales competentes, e) mantener la adscripción de la ART al DAPRE, f) Continuar con la inclusión de la meta de cierre de brechas de pobreza multidimensional entre los municipios PDET y el promedio nacional.</w:t>
            </w:r>
          </w:p>
          <w:p w14:paraId="2597BF84" w14:textId="77777777" w:rsidR="00DE3C06" w:rsidRPr="00422D9A" w:rsidRDefault="00DE3C06" w:rsidP="008A49D0">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olor w:val="275317" w:themeColor="accent6" w:themeShade="80"/>
                <w:sz w:val="20"/>
                <w:szCs w:val="20"/>
              </w:rPr>
            </w:pPr>
          </w:p>
          <w:p w14:paraId="499AE912" w14:textId="77777777" w:rsidR="00DE3C06" w:rsidRPr="00422D9A" w:rsidRDefault="00DE3C06" w:rsidP="008A49D0">
            <w:pPr>
              <w:jc w:val="both"/>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Arial"/>
                <w:color w:val="275317" w:themeColor="accent6" w:themeShade="80"/>
                <w:sz w:val="20"/>
                <w:szCs w:val="20"/>
              </w:rPr>
            </w:pPr>
          </w:p>
          <w:p w14:paraId="56EC2144" w14:textId="77777777" w:rsidR="00DE3C06" w:rsidRPr="00422D9A" w:rsidRDefault="00DE3C06" w:rsidP="008A49D0">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olor w:val="275317" w:themeColor="accent6" w:themeShade="80"/>
                <w:sz w:val="20"/>
                <w:szCs w:val="20"/>
              </w:rPr>
            </w:pPr>
            <w:r w:rsidRPr="00422D9A">
              <w:rPr>
                <w:rFonts w:asciiTheme="minorHAnsi" w:eastAsia="Arial" w:hAnsiTheme="minorHAnsi" w:cs="Arial"/>
                <w:color w:val="275317" w:themeColor="accent6" w:themeShade="80"/>
                <w:sz w:val="20"/>
                <w:szCs w:val="20"/>
              </w:rPr>
              <w:t xml:space="preserve">Incidencia en la formulación de la Ley del Bienio 2027 - 2028 del SGR y del PGN 2027, con el fin de garantizar que los recursos de la Asignación para la Paz se distribuyan equitativamente en las subregiones PDET para la implementación de los PATR revisados y actualizados y </w:t>
            </w:r>
            <w:r w:rsidRPr="00422D9A">
              <w:rPr>
                <w:rFonts w:asciiTheme="minorHAnsi" w:eastAsia="Arial" w:hAnsiTheme="minorHAnsi" w:cs="Arial"/>
                <w:color w:val="275317" w:themeColor="accent6" w:themeShade="80"/>
                <w:sz w:val="20"/>
                <w:szCs w:val="20"/>
                <w:lang w:val="es-CO"/>
              </w:rPr>
              <w:t>facultades para ajustes de la metodología de priorización de proyectos para ser presentada por la ART y el DNP al OCAD Paz.</w:t>
            </w:r>
          </w:p>
        </w:tc>
      </w:tr>
      <w:tr w:rsidR="00DE3C06" w:rsidRPr="000C5171" w14:paraId="0DE305E7" w14:textId="77777777" w:rsidTr="008A49D0">
        <w:trPr>
          <w:trHeight w:val="5944"/>
        </w:trPr>
        <w:tc>
          <w:tcPr>
            <w:cnfStyle w:val="001000000000" w:firstRow="0" w:lastRow="0" w:firstColumn="1" w:lastColumn="0" w:oddVBand="0" w:evenVBand="0" w:oddHBand="0" w:evenHBand="0" w:firstRowFirstColumn="0" w:firstRowLastColumn="0" w:lastRowFirstColumn="0" w:lastRowLastColumn="0"/>
            <w:tcW w:w="650" w:type="dxa"/>
            <w:tcBorders>
              <w:top w:val="single" w:sz="4" w:space="0" w:color="auto"/>
              <w:left w:val="single" w:sz="4" w:space="0" w:color="auto"/>
              <w:bottom w:val="single" w:sz="4" w:space="0" w:color="auto"/>
              <w:right w:val="single" w:sz="4" w:space="0" w:color="auto"/>
            </w:tcBorders>
            <w:shd w:val="clear" w:color="auto" w:fill="C1F0C7" w:themeFill="accent3" w:themeFillTint="33"/>
            <w:tcMar>
              <w:top w:w="0" w:type="dxa"/>
              <w:left w:w="105" w:type="dxa"/>
              <w:bottom w:w="0" w:type="dxa"/>
              <w:right w:w="105" w:type="dxa"/>
            </w:tcMar>
          </w:tcPr>
          <w:p w14:paraId="14F8008B" w14:textId="77777777" w:rsidR="00DE3C06" w:rsidRPr="00422D9A" w:rsidRDefault="00DE3C06" w:rsidP="008A49D0">
            <w:pPr>
              <w:rPr>
                <w:rFonts w:asciiTheme="minorHAnsi" w:hAnsiTheme="minorHAnsi"/>
                <w:color w:val="275317" w:themeColor="accent6" w:themeShade="80"/>
                <w:sz w:val="20"/>
                <w:szCs w:val="20"/>
              </w:rPr>
            </w:pPr>
            <w:r w:rsidRPr="00422D9A">
              <w:rPr>
                <w:rFonts w:asciiTheme="minorHAnsi" w:hAnsiTheme="minorHAnsi"/>
                <w:color w:val="275317" w:themeColor="accent6" w:themeShade="80"/>
                <w:sz w:val="20"/>
                <w:szCs w:val="20"/>
              </w:rPr>
              <w:lastRenderedPageBreak/>
              <w:t>8</w:t>
            </w:r>
          </w:p>
        </w:tc>
        <w:tc>
          <w:tcPr>
            <w:tcW w:w="2481"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14:paraId="09399EE7" w14:textId="77777777" w:rsidR="00DE3C06" w:rsidRPr="00422D9A" w:rsidRDefault="00DE3C06" w:rsidP="008A49D0">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ahoma"/>
                <w:color w:val="275317" w:themeColor="accent6" w:themeShade="80"/>
                <w:sz w:val="20"/>
                <w:szCs w:val="20"/>
                <w:lang w:val="es-CO"/>
              </w:rPr>
            </w:pPr>
            <w:r w:rsidRPr="00422D9A">
              <w:rPr>
                <w:rFonts w:asciiTheme="minorHAnsi" w:hAnsiTheme="minorHAnsi" w:cs="Tahoma"/>
                <w:color w:val="275317" w:themeColor="accent6" w:themeShade="80"/>
                <w:sz w:val="20"/>
                <w:szCs w:val="20"/>
                <w:lang w:val="es-CO"/>
              </w:rPr>
              <w:t>Gestionar las acciones de articulación con el Ministerio de Hacienda y el DNP con el fin de que se emitan las directrices necesarias para el cumplimiento de lo dispuesto en el parágrafo 2 del artículo 3 de la Ley 2565 de 2026 respecto de la garantía de concurrencia de recursos que deberán ser incluidos en los Planes Estratégicos y los Planes Operativos anuales de las entidades correspondientes</w:t>
            </w:r>
            <w:r w:rsidRPr="00422D9A">
              <w:rPr>
                <w:rFonts w:asciiTheme="minorHAnsi" w:eastAsiaTheme="minorEastAsia" w:hAnsiTheme="minorHAnsi"/>
                <w:color w:val="275317" w:themeColor="accent6" w:themeShade="80"/>
                <w:kern w:val="24"/>
                <w:sz w:val="20"/>
                <w:szCs w:val="20"/>
                <w:lang w:val="es-CO" w:eastAsia="es-MX"/>
              </w:rPr>
              <w:t>.</w:t>
            </w:r>
          </w:p>
          <w:p w14:paraId="0291C58F" w14:textId="77777777" w:rsidR="00DE3C06" w:rsidRPr="00422D9A" w:rsidRDefault="00DE3C06" w:rsidP="008A49D0">
            <w:pPr>
              <w:spacing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275317" w:themeColor="accent6" w:themeShade="80"/>
                <w:sz w:val="20"/>
                <w:szCs w:val="20"/>
              </w:rPr>
            </w:pPr>
          </w:p>
        </w:tc>
        <w:tc>
          <w:tcPr>
            <w:tcW w:w="5449"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14:paraId="2D54B6EC" w14:textId="77777777" w:rsidR="00DE3C06" w:rsidRPr="00422D9A" w:rsidRDefault="00DE3C06" w:rsidP="008A49D0">
            <w:pPr>
              <w:jc w:val="both"/>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Arial"/>
                <w:color w:val="275317" w:themeColor="accent6" w:themeShade="80"/>
                <w:sz w:val="20"/>
                <w:szCs w:val="20"/>
                <w:lang w:val="es-CO"/>
              </w:rPr>
            </w:pPr>
            <w:r w:rsidRPr="00422D9A">
              <w:rPr>
                <w:rFonts w:asciiTheme="minorHAnsi" w:eastAsia="Arial" w:hAnsiTheme="minorHAnsi" w:cs="Arial"/>
                <w:color w:val="275317" w:themeColor="accent6" w:themeShade="80"/>
                <w:sz w:val="20"/>
                <w:szCs w:val="20"/>
                <w:lang w:val="es-CO"/>
              </w:rPr>
              <w:t>Adelantar las acciones de articulación con el Ministerio de Hacienda y el DNP con el fin de que se emitan las directrices necesarias para el cumplimiento de lo dispuesto en el parágrafo 2 del artículo 3 de la Ley 2565 de 2026 respecto de la garantía de concurrencia de recursos que deberán ser incluidos en los Planes Estratégicos y los Planes Operativos anuales de las entidades correspondientes.</w:t>
            </w:r>
          </w:p>
          <w:p w14:paraId="25FA4984" w14:textId="77777777" w:rsidR="00DE3C06" w:rsidRPr="00422D9A" w:rsidRDefault="00DE3C06" w:rsidP="008A49D0">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275317" w:themeColor="accent6" w:themeShade="80"/>
                <w:sz w:val="20"/>
                <w:szCs w:val="20"/>
              </w:rPr>
            </w:pPr>
          </w:p>
        </w:tc>
      </w:tr>
      <w:tr w:rsidR="00DE3C06" w:rsidRPr="00422D9A" w14:paraId="44715470" w14:textId="77777777" w:rsidTr="008A49D0">
        <w:trPr>
          <w:cnfStyle w:val="000000100000" w:firstRow="0" w:lastRow="0" w:firstColumn="0" w:lastColumn="0" w:oddVBand="0" w:evenVBand="0" w:oddHBand="1" w:evenHBand="0" w:firstRowFirstColumn="0" w:firstRowLastColumn="0" w:lastRowFirstColumn="0" w:lastRowLastColumn="0"/>
          <w:trHeight w:val="5652"/>
        </w:trPr>
        <w:tc>
          <w:tcPr>
            <w:cnfStyle w:val="001000000000" w:firstRow="0" w:lastRow="0" w:firstColumn="1" w:lastColumn="0" w:oddVBand="0" w:evenVBand="0" w:oddHBand="0" w:evenHBand="0" w:firstRowFirstColumn="0" w:firstRowLastColumn="0" w:lastRowFirstColumn="0" w:lastRowLastColumn="0"/>
            <w:tcW w:w="650" w:type="dxa"/>
            <w:tcBorders>
              <w:top w:val="single" w:sz="4" w:space="0" w:color="auto"/>
              <w:left w:val="single" w:sz="4" w:space="0" w:color="auto"/>
              <w:bottom w:val="single" w:sz="4" w:space="0" w:color="auto"/>
              <w:right w:val="single" w:sz="4" w:space="0" w:color="auto"/>
            </w:tcBorders>
            <w:shd w:val="clear" w:color="auto" w:fill="C1F0C7" w:themeFill="accent3" w:themeFillTint="33"/>
            <w:tcMar>
              <w:top w:w="0" w:type="dxa"/>
              <w:left w:w="105" w:type="dxa"/>
              <w:bottom w:w="0" w:type="dxa"/>
              <w:right w:w="105" w:type="dxa"/>
            </w:tcMar>
          </w:tcPr>
          <w:p w14:paraId="59662431" w14:textId="77777777" w:rsidR="00DE3C06" w:rsidRPr="00422D9A" w:rsidRDefault="00DE3C06" w:rsidP="008A49D0">
            <w:pPr>
              <w:rPr>
                <w:rFonts w:asciiTheme="minorHAnsi" w:hAnsiTheme="minorHAnsi"/>
                <w:color w:val="275317" w:themeColor="accent6" w:themeShade="80"/>
                <w:sz w:val="20"/>
                <w:szCs w:val="20"/>
              </w:rPr>
            </w:pPr>
            <w:r w:rsidRPr="00422D9A">
              <w:rPr>
                <w:rFonts w:asciiTheme="minorHAnsi" w:hAnsiTheme="minorHAnsi"/>
                <w:color w:val="275317" w:themeColor="accent6" w:themeShade="80"/>
                <w:sz w:val="20"/>
                <w:szCs w:val="20"/>
              </w:rPr>
              <w:t>9</w:t>
            </w:r>
          </w:p>
        </w:tc>
        <w:tc>
          <w:tcPr>
            <w:tcW w:w="2481"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14:paraId="3E874B43" w14:textId="77777777" w:rsidR="00DE3C06" w:rsidRPr="00422D9A" w:rsidRDefault="00DE3C06" w:rsidP="008A49D0">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ahoma"/>
                <w:color w:val="275317" w:themeColor="accent6" w:themeShade="80"/>
                <w:sz w:val="20"/>
                <w:szCs w:val="20"/>
                <w:lang w:val="es-CO"/>
              </w:rPr>
            </w:pPr>
            <w:r w:rsidRPr="00422D9A">
              <w:rPr>
                <w:rFonts w:asciiTheme="minorHAnsi" w:hAnsiTheme="minorHAnsi" w:cs="Tahoma"/>
                <w:color w:val="275317" w:themeColor="accent6" w:themeShade="80"/>
                <w:sz w:val="20"/>
                <w:szCs w:val="20"/>
                <w:lang w:val="es-CO"/>
              </w:rPr>
              <w:t>Continuar procesos en curso de Universidad Del Catatumbo para su entrega y dotación parcial.</w:t>
            </w:r>
          </w:p>
        </w:tc>
        <w:tc>
          <w:tcPr>
            <w:tcW w:w="5449"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14:paraId="675F0C8C" w14:textId="77777777" w:rsidR="00DE3C06" w:rsidRPr="00422D9A" w:rsidRDefault="00DE3C06" w:rsidP="008A49D0">
            <w:pPr>
              <w:jc w:val="both"/>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Arial"/>
                <w:color w:val="275317" w:themeColor="accent6" w:themeShade="80"/>
                <w:sz w:val="20"/>
                <w:szCs w:val="20"/>
                <w:lang w:val="es-CO"/>
              </w:rPr>
            </w:pPr>
            <w:r w:rsidRPr="00422D9A">
              <w:rPr>
                <w:rFonts w:asciiTheme="minorHAnsi" w:eastAsia="Arial" w:hAnsiTheme="minorHAnsi" w:cs="Arial"/>
                <w:color w:val="275317" w:themeColor="accent6" w:themeShade="80"/>
                <w:sz w:val="20"/>
                <w:szCs w:val="20"/>
                <w:lang w:val="es-CO"/>
              </w:rPr>
              <w:t xml:space="preserve">Continuar, </w:t>
            </w:r>
            <w:proofErr w:type="gramStart"/>
            <w:r w:rsidRPr="00422D9A">
              <w:rPr>
                <w:rFonts w:asciiTheme="minorHAnsi" w:eastAsia="Arial" w:hAnsiTheme="minorHAnsi" w:cs="Arial"/>
                <w:color w:val="275317" w:themeColor="accent6" w:themeShade="80"/>
                <w:sz w:val="20"/>
                <w:szCs w:val="20"/>
                <w:lang w:val="es-CO"/>
              </w:rPr>
              <w:t>conjuntamente con</w:t>
            </w:r>
            <w:proofErr w:type="gramEnd"/>
            <w:r w:rsidRPr="00422D9A">
              <w:rPr>
                <w:rFonts w:asciiTheme="minorHAnsi" w:eastAsia="Arial" w:hAnsiTheme="minorHAnsi" w:cs="Arial"/>
                <w:color w:val="275317" w:themeColor="accent6" w:themeShade="80"/>
                <w:sz w:val="20"/>
                <w:szCs w:val="20"/>
                <w:lang w:val="es-CO"/>
              </w:rPr>
              <w:t xml:space="preserve"> el Fondo Colombia en Paz, el proceso de entrega formal de la primera fase de la infraestructura de la Universidad para el Catatumbo al Fondo Paz financiador del proyecto y continuar el proceso contractual para ejecutar los recursos existentes para su dotación parcial.</w:t>
            </w:r>
          </w:p>
        </w:tc>
      </w:tr>
      <w:tr w:rsidR="00DE3C06" w:rsidRPr="00422D9A" w14:paraId="014571F0" w14:textId="77777777" w:rsidTr="008A49D0">
        <w:trPr>
          <w:trHeight w:val="5652"/>
        </w:trPr>
        <w:tc>
          <w:tcPr>
            <w:cnfStyle w:val="001000000000" w:firstRow="0" w:lastRow="0" w:firstColumn="1" w:lastColumn="0" w:oddVBand="0" w:evenVBand="0" w:oddHBand="0" w:evenHBand="0" w:firstRowFirstColumn="0" w:firstRowLastColumn="0" w:lastRowFirstColumn="0" w:lastRowLastColumn="0"/>
            <w:tcW w:w="650" w:type="dxa"/>
            <w:tcBorders>
              <w:top w:val="single" w:sz="4" w:space="0" w:color="auto"/>
              <w:left w:val="single" w:sz="4" w:space="0" w:color="auto"/>
              <w:bottom w:val="single" w:sz="4" w:space="0" w:color="auto"/>
              <w:right w:val="single" w:sz="4" w:space="0" w:color="auto"/>
            </w:tcBorders>
            <w:shd w:val="clear" w:color="auto" w:fill="C1F0C7" w:themeFill="accent3" w:themeFillTint="33"/>
            <w:tcMar>
              <w:top w:w="0" w:type="dxa"/>
              <w:left w:w="105" w:type="dxa"/>
              <w:bottom w:w="0" w:type="dxa"/>
              <w:right w:w="105" w:type="dxa"/>
            </w:tcMar>
          </w:tcPr>
          <w:p w14:paraId="4AC13703" w14:textId="77777777" w:rsidR="00DE3C06" w:rsidRPr="00422D9A" w:rsidRDefault="00DE3C06" w:rsidP="008A49D0">
            <w:pPr>
              <w:rPr>
                <w:rFonts w:asciiTheme="minorHAnsi" w:hAnsiTheme="minorHAnsi"/>
                <w:color w:val="275317" w:themeColor="accent6" w:themeShade="80"/>
                <w:sz w:val="20"/>
                <w:szCs w:val="20"/>
              </w:rPr>
            </w:pPr>
            <w:r w:rsidRPr="00422D9A">
              <w:rPr>
                <w:rFonts w:asciiTheme="minorHAnsi" w:hAnsiTheme="minorHAnsi"/>
                <w:color w:val="275317" w:themeColor="accent6" w:themeShade="80"/>
                <w:sz w:val="20"/>
                <w:szCs w:val="20"/>
              </w:rPr>
              <w:lastRenderedPageBreak/>
              <w:t>10</w:t>
            </w:r>
          </w:p>
        </w:tc>
        <w:tc>
          <w:tcPr>
            <w:tcW w:w="2481"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14:paraId="71683E43" w14:textId="77777777" w:rsidR="00DE3C06" w:rsidRPr="00422D9A" w:rsidRDefault="00DE3C06" w:rsidP="008A49D0">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ahoma"/>
                <w:color w:val="275317" w:themeColor="accent6" w:themeShade="80"/>
                <w:sz w:val="20"/>
                <w:szCs w:val="20"/>
                <w:lang w:val="es-CO"/>
              </w:rPr>
            </w:pPr>
            <w:r w:rsidRPr="00422D9A">
              <w:rPr>
                <w:rFonts w:asciiTheme="minorHAnsi" w:eastAsia="Arial" w:hAnsiTheme="minorHAnsi" w:cs="Arial"/>
                <w:color w:val="275317" w:themeColor="accent6" w:themeShade="80"/>
                <w:sz w:val="20"/>
                <w:szCs w:val="20"/>
              </w:rPr>
              <w:t>Ajustes estratégicos para articular la misionalidad con la implementación de los PATR: Modelo de Operación y Estructura Organizacional</w:t>
            </w:r>
          </w:p>
        </w:tc>
        <w:tc>
          <w:tcPr>
            <w:tcW w:w="5449"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14:paraId="472977D1" w14:textId="77777777" w:rsidR="00DE3C06" w:rsidRPr="00422D9A" w:rsidRDefault="00DE3C06" w:rsidP="008A49D0">
            <w:pPr>
              <w:ind w:left="-72"/>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275317" w:themeColor="accent6" w:themeShade="80"/>
                <w:sz w:val="20"/>
                <w:szCs w:val="20"/>
              </w:rPr>
            </w:pPr>
            <w:r w:rsidRPr="00422D9A">
              <w:rPr>
                <w:rFonts w:asciiTheme="minorHAnsi" w:hAnsiTheme="minorHAnsi" w:cs="Arial"/>
                <w:color w:val="275317" w:themeColor="accent6" w:themeShade="80"/>
                <w:sz w:val="20"/>
                <w:szCs w:val="20"/>
              </w:rPr>
              <w:t>Los ajustes estratégicos que se requieren para fortalecer la implementación en el corto y mediano plazo se enfocan en la revisión y ajuste del modelo de operaciones y de la estructura organizacional de la ART, con la finalidad de articular de manera oportuna y eficiente la misionalidad de la entidad con la implementación de los PATR y así transformar el territorio, fortaleciendo la reactivación económica y mejorando la calidad de vida de las comunidades de los 170 municipios de las subregiones PDET.</w:t>
            </w:r>
          </w:p>
          <w:p w14:paraId="1CE660EC" w14:textId="77777777" w:rsidR="00DE3C06" w:rsidRPr="00422D9A" w:rsidRDefault="00DE3C06" w:rsidP="008A49D0">
            <w:pPr>
              <w:ind w:left="-72"/>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275317" w:themeColor="accent6" w:themeShade="80"/>
                <w:sz w:val="20"/>
                <w:szCs w:val="20"/>
              </w:rPr>
            </w:pPr>
            <w:r w:rsidRPr="00422D9A">
              <w:rPr>
                <w:rFonts w:asciiTheme="minorHAnsi" w:hAnsiTheme="minorHAnsi" w:cs="Arial"/>
                <w:color w:val="275317" w:themeColor="accent6" w:themeShade="80"/>
                <w:sz w:val="20"/>
                <w:szCs w:val="20"/>
              </w:rPr>
              <w:t>El modelo de operaciones debería tener énfasis en:</w:t>
            </w:r>
          </w:p>
          <w:p w14:paraId="4D2108F6" w14:textId="77777777" w:rsidR="00DE3C06" w:rsidRPr="00422D9A" w:rsidRDefault="00DE3C06">
            <w:pPr>
              <w:numPr>
                <w:ilvl w:val="0"/>
                <w:numId w:val="14"/>
              </w:numPr>
              <w:spacing w:line="276" w:lineRule="auto"/>
              <w:ind w:left="-72"/>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275317" w:themeColor="accent6" w:themeShade="80"/>
                <w:sz w:val="20"/>
                <w:szCs w:val="20"/>
              </w:rPr>
            </w:pPr>
            <w:r w:rsidRPr="00422D9A">
              <w:rPr>
                <w:rFonts w:asciiTheme="minorHAnsi" w:eastAsia="Times New Roman" w:hAnsiTheme="minorHAnsi" w:cs="Arial"/>
                <w:color w:val="275317" w:themeColor="accent6" w:themeShade="80"/>
                <w:sz w:val="20"/>
                <w:szCs w:val="20"/>
              </w:rPr>
              <w:t>Proyectar la entidad a 10 años (teniendo en cuenta que la vigencia para la implementación de los PDET se prorrogó hasta el 28 de mayo de 2037 (Ley 2565 de 2026).</w:t>
            </w:r>
          </w:p>
          <w:p w14:paraId="0761AD4C" w14:textId="77777777" w:rsidR="00DE3C06" w:rsidRPr="00422D9A" w:rsidRDefault="00DE3C06">
            <w:pPr>
              <w:numPr>
                <w:ilvl w:val="0"/>
                <w:numId w:val="14"/>
              </w:numPr>
              <w:spacing w:line="276" w:lineRule="auto"/>
              <w:ind w:left="-72"/>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275317" w:themeColor="accent6" w:themeShade="80"/>
                <w:sz w:val="20"/>
                <w:szCs w:val="20"/>
              </w:rPr>
            </w:pPr>
            <w:r w:rsidRPr="00422D9A">
              <w:rPr>
                <w:rFonts w:asciiTheme="minorHAnsi" w:eastAsia="Times New Roman" w:hAnsiTheme="minorHAnsi" w:cs="Arial"/>
                <w:color w:val="275317" w:themeColor="accent6" w:themeShade="80"/>
                <w:sz w:val="20"/>
                <w:szCs w:val="20"/>
              </w:rPr>
              <w:t>Implementar los Planes de Acción para la Transformación Regional (PATR) actualizados, con especial énfasis en el Capítulo de Programas y Proyectos, toda vez que permite incidir en procesos de planeación, gestión de recursos, formulación presupuestal y concertación interinstitucional.</w:t>
            </w:r>
          </w:p>
          <w:p w14:paraId="4941ED9D" w14:textId="77777777" w:rsidR="00DE3C06" w:rsidRPr="00422D9A" w:rsidRDefault="00DE3C06" w:rsidP="008A49D0">
            <w:pPr>
              <w:jc w:val="both"/>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Arial"/>
                <w:color w:val="275317" w:themeColor="accent6" w:themeShade="80"/>
                <w:sz w:val="20"/>
                <w:szCs w:val="20"/>
                <w:lang w:val="es-CO"/>
              </w:rPr>
            </w:pPr>
            <w:r w:rsidRPr="00422D9A">
              <w:rPr>
                <w:rFonts w:asciiTheme="minorHAnsi" w:eastAsia="Times New Roman" w:hAnsiTheme="minorHAnsi" w:cs="Arial"/>
                <w:color w:val="275317" w:themeColor="accent6" w:themeShade="80"/>
                <w:sz w:val="20"/>
                <w:szCs w:val="20"/>
              </w:rPr>
              <w:t>Dar continuidad al fortalecimiento de capacidades comunitarias para la participación incidente, el control social y la apropiación territorial.</w:t>
            </w:r>
          </w:p>
        </w:tc>
      </w:tr>
    </w:tbl>
    <w:p w14:paraId="6030A5C1" w14:textId="77777777" w:rsidR="00DE3C06" w:rsidRPr="00422D9A" w:rsidRDefault="00DE3C06" w:rsidP="00DE3C06">
      <w:pPr>
        <w:pStyle w:val="Prrafodelista"/>
        <w:spacing w:line="276" w:lineRule="auto"/>
        <w:ind w:left="1701"/>
        <w:rPr>
          <w:rFonts w:cs="Tahoma"/>
          <w:color w:val="275317" w:themeColor="accent6" w:themeShade="80"/>
          <w:sz w:val="22"/>
          <w:szCs w:val="22"/>
        </w:rPr>
      </w:pPr>
      <w:r w:rsidRPr="00422D9A">
        <w:rPr>
          <w:rFonts w:cs="Tahoma"/>
          <w:color w:val="275317" w:themeColor="accent6" w:themeShade="80"/>
          <w:sz w:val="22"/>
          <w:szCs w:val="22"/>
        </w:rPr>
        <w:tab/>
      </w:r>
      <w:r w:rsidRPr="00422D9A">
        <w:rPr>
          <w:rFonts w:cs="Tahoma"/>
          <w:color w:val="275317" w:themeColor="accent6" w:themeShade="80"/>
          <w:sz w:val="22"/>
          <w:szCs w:val="22"/>
        </w:rPr>
        <w:tab/>
      </w:r>
      <w:r w:rsidRPr="00422D9A">
        <w:rPr>
          <w:rFonts w:cs="Tahoma"/>
          <w:color w:val="275317" w:themeColor="accent6" w:themeShade="80"/>
          <w:sz w:val="22"/>
          <w:szCs w:val="22"/>
        </w:rPr>
        <w:tab/>
      </w:r>
      <w:r w:rsidRPr="00422D9A">
        <w:rPr>
          <w:rFonts w:cs="Tahoma"/>
          <w:color w:val="275317" w:themeColor="accent6" w:themeShade="80"/>
          <w:sz w:val="22"/>
          <w:szCs w:val="22"/>
        </w:rPr>
        <w:tab/>
      </w:r>
      <w:r w:rsidRPr="00422D9A">
        <w:rPr>
          <w:rFonts w:cs="Tahoma"/>
          <w:color w:val="275317" w:themeColor="accent6" w:themeShade="80"/>
          <w:sz w:val="22"/>
          <w:szCs w:val="22"/>
        </w:rPr>
        <w:tab/>
      </w:r>
      <w:r w:rsidRPr="00422D9A">
        <w:rPr>
          <w:rFonts w:cs="Tahoma"/>
          <w:color w:val="275317" w:themeColor="accent6" w:themeShade="80"/>
          <w:sz w:val="22"/>
          <w:szCs w:val="22"/>
        </w:rPr>
        <w:tab/>
        <w:t>Fuente: Elaboración Propia 2026</w:t>
      </w:r>
    </w:p>
    <w:p w14:paraId="4553C557" w14:textId="77777777" w:rsidR="00DE3C06" w:rsidRPr="00422D9A" w:rsidRDefault="00DE3C06" w:rsidP="00DE3C06">
      <w:pPr>
        <w:pStyle w:val="Prrafodelista"/>
        <w:spacing w:line="276" w:lineRule="auto"/>
        <w:ind w:left="1701"/>
        <w:rPr>
          <w:rFonts w:cs="Tahoma"/>
          <w:color w:val="275317" w:themeColor="accent6" w:themeShade="80"/>
          <w:sz w:val="22"/>
          <w:szCs w:val="22"/>
        </w:rPr>
      </w:pPr>
    </w:p>
    <w:p w14:paraId="39C672F2" w14:textId="77777777" w:rsidR="00DE3C06" w:rsidRPr="00422D9A" w:rsidRDefault="00DE3C06" w:rsidP="00DE3C06">
      <w:pPr>
        <w:pStyle w:val="Prrafodelista"/>
        <w:spacing w:line="276" w:lineRule="auto"/>
        <w:ind w:left="1701"/>
        <w:rPr>
          <w:rFonts w:cs="Tahoma"/>
          <w:color w:val="275317" w:themeColor="accent6" w:themeShade="80"/>
          <w:sz w:val="22"/>
          <w:szCs w:val="22"/>
        </w:rPr>
      </w:pPr>
    </w:p>
    <w:p w14:paraId="0D348DAD" w14:textId="77777777" w:rsidR="00DE3C06" w:rsidRPr="00422D9A" w:rsidRDefault="00DE3C06" w:rsidP="00DE3C06">
      <w:pPr>
        <w:spacing w:line="276" w:lineRule="auto"/>
        <w:ind w:left="993"/>
        <w:rPr>
          <w:rFonts w:cs="Tahoma"/>
          <w:color w:val="275317" w:themeColor="accent6" w:themeShade="80"/>
          <w:sz w:val="22"/>
          <w:szCs w:val="22"/>
        </w:rPr>
      </w:pPr>
    </w:p>
    <w:p w14:paraId="342BDE92" w14:textId="77777777" w:rsidR="00DE3C06" w:rsidRPr="000C5171" w:rsidRDefault="00DE3C06" w:rsidP="00DE3C06">
      <w:pPr>
        <w:spacing w:line="276" w:lineRule="auto"/>
        <w:ind w:left="993"/>
        <w:rPr>
          <w:rFonts w:cs="Tahoma"/>
          <w:sz w:val="22"/>
          <w:szCs w:val="22"/>
        </w:rPr>
      </w:pPr>
    </w:p>
    <w:p w14:paraId="12064DC6" w14:textId="77777777" w:rsidR="00DE3C06" w:rsidRPr="000C5171" w:rsidRDefault="00DE3C06" w:rsidP="00DE3C06">
      <w:pPr>
        <w:pStyle w:val="Ttulo1"/>
        <w:spacing w:line="276" w:lineRule="auto"/>
        <w:rPr>
          <w:rFonts w:cs="Tahoma"/>
          <w:color w:val="0070C0"/>
        </w:rPr>
      </w:pPr>
      <w:bookmarkStart w:id="58" w:name="_Toc234168118"/>
      <w:r w:rsidRPr="000C5171">
        <w:rPr>
          <w:rFonts w:cs="Tahoma"/>
          <w:color w:val="0070C0"/>
        </w:rPr>
        <w:t>11.2. Temas Prioritarios, de especial atención Técnica, Administrativa, Jurídica, Contractual y Financiera ART</w:t>
      </w:r>
      <w:bookmarkEnd w:id="58"/>
    </w:p>
    <w:p w14:paraId="16E26A64" w14:textId="77777777" w:rsidR="00DE3C06" w:rsidRPr="000C5171" w:rsidRDefault="00DE3C06" w:rsidP="00DE3C06">
      <w:pPr>
        <w:spacing w:line="276" w:lineRule="auto"/>
        <w:rPr>
          <w:rFonts w:eastAsia="Arial" w:cs="Tahoma"/>
          <w:sz w:val="22"/>
          <w:szCs w:val="22"/>
        </w:rPr>
      </w:pPr>
      <w:bookmarkStart w:id="59" w:name="_Hlk231460770"/>
    </w:p>
    <w:p w14:paraId="0718406B" w14:textId="77777777" w:rsidR="00DE3C06" w:rsidRPr="000C5171" w:rsidRDefault="00DE3C06" w:rsidP="00DE3C06">
      <w:pPr>
        <w:spacing w:line="276" w:lineRule="auto"/>
        <w:ind w:left="426" w:hanging="284"/>
        <w:jc w:val="both"/>
        <w:rPr>
          <w:rFonts w:eastAsia="Arial" w:cs="Tahoma"/>
          <w:sz w:val="22"/>
          <w:szCs w:val="22"/>
        </w:rPr>
      </w:pPr>
      <w:r w:rsidRPr="000C5171">
        <w:rPr>
          <w:rFonts w:eastAsia="Arial" w:cs="Tahoma"/>
          <w:sz w:val="22"/>
          <w:szCs w:val="22"/>
        </w:rPr>
        <w:t>•</w:t>
      </w:r>
      <w:r w:rsidRPr="000C5171">
        <w:rPr>
          <w:rFonts w:eastAsia="Arial" w:cs="Tahoma"/>
          <w:sz w:val="22"/>
          <w:szCs w:val="22"/>
        </w:rPr>
        <w:tab/>
        <w:t xml:space="preserve">Garantizar la continuidad de los procesos contractuales de proyectos concertados en espacios comunitarios. </w:t>
      </w:r>
      <w:r>
        <w:rPr>
          <w:rFonts w:eastAsia="Arial" w:cs="Tahoma"/>
          <w:sz w:val="22"/>
          <w:szCs w:val="22"/>
        </w:rPr>
        <w:t xml:space="preserve">Ver </w:t>
      </w:r>
      <w:r w:rsidRPr="00AB56CD">
        <w:rPr>
          <w:rFonts w:eastAsia="Arial" w:cs="Tahoma"/>
          <w:b/>
          <w:bCs/>
          <w:sz w:val="22"/>
          <w:szCs w:val="22"/>
        </w:rPr>
        <w:t>Anexo 34</w:t>
      </w:r>
    </w:p>
    <w:p w14:paraId="486C044A" w14:textId="77777777" w:rsidR="00DE3C06" w:rsidRPr="000C5171" w:rsidRDefault="00DE3C06" w:rsidP="00DE3C06">
      <w:pPr>
        <w:spacing w:line="276" w:lineRule="auto"/>
        <w:ind w:left="426" w:hanging="284"/>
        <w:jc w:val="both"/>
        <w:rPr>
          <w:rFonts w:eastAsia="Arial" w:cs="Tahoma"/>
          <w:sz w:val="22"/>
          <w:szCs w:val="22"/>
        </w:rPr>
      </w:pPr>
      <w:r w:rsidRPr="000C5171">
        <w:rPr>
          <w:rFonts w:eastAsia="Arial" w:cs="Tahoma"/>
          <w:sz w:val="22"/>
          <w:szCs w:val="22"/>
        </w:rPr>
        <w:t>•</w:t>
      </w:r>
      <w:r w:rsidRPr="000C5171">
        <w:rPr>
          <w:rFonts w:eastAsia="Arial" w:cs="Tahoma"/>
          <w:sz w:val="22"/>
          <w:szCs w:val="22"/>
        </w:rPr>
        <w:tab/>
        <w:t xml:space="preserve">Garantizar la continuidad de la supervisión técnica, jurídica, administrativa, financiera y contable de los contratos y convenios que se encuentran en ejecución, </w:t>
      </w:r>
      <w:r>
        <w:rPr>
          <w:rFonts w:eastAsia="Arial" w:cs="Tahoma"/>
          <w:sz w:val="22"/>
          <w:szCs w:val="22"/>
        </w:rPr>
        <w:t xml:space="preserve">Ver </w:t>
      </w:r>
      <w:r w:rsidRPr="00AB56CD">
        <w:rPr>
          <w:rFonts w:eastAsia="Arial" w:cs="Tahoma"/>
          <w:b/>
          <w:bCs/>
          <w:sz w:val="22"/>
          <w:szCs w:val="22"/>
        </w:rPr>
        <w:t>Anexo 3</w:t>
      </w:r>
      <w:r>
        <w:rPr>
          <w:rFonts w:eastAsia="Arial" w:cs="Tahoma"/>
          <w:b/>
          <w:bCs/>
          <w:sz w:val="22"/>
          <w:szCs w:val="22"/>
        </w:rPr>
        <w:t>5</w:t>
      </w:r>
    </w:p>
    <w:p w14:paraId="72ED664B" w14:textId="77777777" w:rsidR="00DE3C06" w:rsidRPr="000C5171" w:rsidRDefault="00DE3C06" w:rsidP="00DE3C06">
      <w:pPr>
        <w:spacing w:line="276" w:lineRule="auto"/>
        <w:ind w:left="426" w:hanging="284"/>
        <w:jc w:val="both"/>
        <w:rPr>
          <w:rFonts w:eastAsia="Arial" w:cs="Tahoma"/>
          <w:sz w:val="22"/>
          <w:szCs w:val="22"/>
        </w:rPr>
      </w:pPr>
      <w:r w:rsidRPr="000C5171">
        <w:rPr>
          <w:rFonts w:eastAsia="Arial" w:cs="Tahoma"/>
          <w:sz w:val="22"/>
          <w:szCs w:val="22"/>
        </w:rPr>
        <w:t>•</w:t>
      </w:r>
      <w:r w:rsidRPr="000C5171">
        <w:rPr>
          <w:rFonts w:eastAsia="Arial" w:cs="Tahoma"/>
          <w:sz w:val="22"/>
          <w:szCs w:val="22"/>
        </w:rPr>
        <w:tab/>
        <w:t xml:space="preserve">Continuar los procesos de liquidación de contratos y/o convenios en curso dentro de los términos legales. </w:t>
      </w:r>
      <w:r>
        <w:rPr>
          <w:rFonts w:eastAsia="Arial" w:cs="Tahoma"/>
          <w:sz w:val="22"/>
          <w:szCs w:val="22"/>
        </w:rPr>
        <w:t xml:space="preserve">Ver </w:t>
      </w:r>
      <w:r w:rsidRPr="00AB56CD">
        <w:rPr>
          <w:rFonts w:eastAsia="Arial" w:cs="Tahoma"/>
          <w:b/>
          <w:bCs/>
          <w:sz w:val="22"/>
          <w:szCs w:val="22"/>
        </w:rPr>
        <w:t>Anexo 3</w:t>
      </w:r>
      <w:r>
        <w:rPr>
          <w:rFonts w:eastAsia="Arial" w:cs="Tahoma"/>
          <w:b/>
          <w:bCs/>
          <w:sz w:val="22"/>
          <w:szCs w:val="22"/>
        </w:rPr>
        <w:t>6</w:t>
      </w:r>
    </w:p>
    <w:p w14:paraId="187A3C2A" w14:textId="77777777" w:rsidR="00DE3C06" w:rsidRPr="000C5171" w:rsidRDefault="00DE3C06" w:rsidP="00DE3C06">
      <w:pPr>
        <w:spacing w:line="276" w:lineRule="auto"/>
        <w:ind w:left="426" w:hanging="284"/>
        <w:jc w:val="both"/>
        <w:rPr>
          <w:rFonts w:eastAsia="Arial" w:cs="Tahoma"/>
          <w:sz w:val="22"/>
          <w:szCs w:val="22"/>
        </w:rPr>
      </w:pPr>
      <w:r w:rsidRPr="000C5171">
        <w:rPr>
          <w:rFonts w:eastAsia="Arial" w:cs="Tahoma"/>
          <w:sz w:val="22"/>
          <w:szCs w:val="22"/>
        </w:rPr>
        <w:lastRenderedPageBreak/>
        <w:t>•</w:t>
      </w:r>
      <w:r w:rsidRPr="000C5171">
        <w:rPr>
          <w:rFonts w:eastAsia="Arial" w:cs="Tahoma"/>
          <w:sz w:val="22"/>
          <w:szCs w:val="22"/>
        </w:rPr>
        <w:tab/>
        <w:t xml:space="preserve">Realizar seguimiento especial a los convenios suspendidos y definir oportunamente las acciones requeridas para su reactivación, prórroga o cierre. Se anexa relación de proyectos que se encuentran suspendidos a la fecha. </w:t>
      </w:r>
      <w:r>
        <w:rPr>
          <w:rFonts w:eastAsia="Arial" w:cs="Tahoma"/>
          <w:sz w:val="22"/>
          <w:szCs w:val="22"/>
        </w:rPr>
        <w:t xml:space="preserve">Ver </w:t>
      </w:r>
      <w:r w:rsidRPr="00AB56CD">
        <w:rPr>
          <w:rFonts w:eastAsia="Arial" w:cs="Tahoma"/>
          <w:b/>
          <w:bCs/>
          <w:sz w:val="22"/>
          <w:szCs w:val="22"/>
        </w:rPr>
        <w:t>Anexo 3</w:t>
      </w:r>
      <w:r>
        <w:rPr>
          <w:rFonts w:eastAsia="Arial" w:cs="Tahoma"/>
          <w:b/>
          <w:bCs/>
          <w:sz w:val="22"/>
          <w:szCs w:val="22"/>
        </w:rPr>
        <w:t>7</w:t>
      </w:r>
    </w:p>
    <w:p w14:paraId="2462E6E9" w14:textId="77777777" w:rsidR="00DE3C06" w:rsidRPr="000C5171" w:rsidRDefault="00DE3C06" w:rsidP="00DE3C06">
      <w:pPr>
        <w:spacing w:line="276" w:lineRule="auto"/>
        <w:ind w:left="426" w:hanging="284"/>
        <w:jc w:val="both"/>
        <w:rPr>
          <w:rFonts w:eastAsia="Arial" w:cs="Tahoma"/>
          <w:sz w:val="22"/>
          <w:szCs w:val="22"/>
        </w:rPr>
      </w:pPr>
      <w:r w:rsidRPr="000C5171">
        <w:rPr>
          <w:rFonts w:eastAsia="Arial" w:cs="Tahoma"/>
          <w:sz w:val="22"/>
          <w:szCs w:val="22"/>
        </w:rPr>
        <w:t>•</w:t>
      </w:r>
      <w:r w:rsidRPr="000C5171">
        <w:rPr>
          <w:rFonts w:eastAsia="Arial" w:cs="Tahoma"/>
          <w:sz w:val="22"/>
          <w:szCs w:val="22"/>
        </w:rPr>
        <w:tab/>
        <w:t xml:space="preserve">Hacer seguimiento a los contratos y/o convenios que presentan alertas o presunto incumplimiento de obligaciones contractuales. Se anexa relación </w:t>
      </w:r>
      <w:r>
        <w:rPr>
          <w:rFonts w:eastAsia="Arial" w:cs="Tahoma"/>
          <w:sz w:val="22"/>
          <w:szCs w:val="22"/>
        </w:rPr>
        <w:t xml:space="preserve">Ver </w:t>
      </w:r>
      <w:r w:rsidRPr="00AB56CD">
        <w:rPr>
          <w:rFonts w:eastAsia="Arial" w:cs="Tahoma"/>
          <w:b/>
          <w:bCs/>
          <w:sz w:val="22"/>
          <w:szCs w:val="22"/>
        </w:rPr>
        <w:t>Anexo 3</w:t>
      </w:r>
      <w:r>
        <w:rPr>
          <w:rFonts w:eastAsia="Arial" w:cs="Tahoma"/>
          <w:b/>
          <w:bCs/>
          <w:sz w:val="22"/>
          <w:szCs w:val="22"/>
        </w:rPr>
        <w:t>8</w:t>
      </w:r>
    </w:p>
    <w:p w14:paraId="01412F59" w14:textId="77777777" w:rsidR="00DE3C06" w:rsidRPr="000C5171" w:rsidRDefault="00DE3C06" w:rsidP="00DE3C06">
      <w:pPr>
        <w:spacing w:line="276" w:lineRule="auto"/>
        <w:ind w:left="426" w:hanging="284"/>
        <w:jc w:val="both"/>
        <w:rPr>
          <w:rFonts w:eastAsia="Arial" w:cs="Tahoma"/>
          <w:sz w:val="22"/>
          <w:szCs w:val="22"/>
        </w:rPr>
      </w:pPr>
      <w:r w:rsidRPr="000C5171">
        <w:rPr>
          <w:rFonts w:eastAsia="Arial" w:cs="Tahoma"/>
          <w:sz w:val="22"/>
          <w:szCs w:val="22"/>
        </w:rPr>
        <w:t>•</w:t>
      </w:r>
      <w:r w:rsidRPr="000C5171">
        <w:rPr>
          <w:rFonts w:eastAsia="Arial" w:cs="Tahoma"/>
          <w:sz w:val="22"/>
          <w:szCs w:val="22"/>
        </w:rPr>
        <w:tab/>
        <w:t xml:space="preserve">Continuar con el seguimiento de los Procesos contractuales en reclamaciones legales por incumplimiento. Se anexa relación </w:t>
      </w:r>
      <w:r>
        <w:rPr>
          <w:rFonts w:eastAsia="Arial" w:cs="Tahoma"/>
          <w:sz w:val="22"/>
          <w:szCs w:val="22"/>
        </w:rPr>
        <w:t xml:space="preserve">Ver </w:t>
      </w:r>
      <w:r w:rsidRPr="00AB56CD">
        <w:rPr>
          <w:rFonts w:eastAsia="Arial" w:cs="Tahoma"/>
          <w:b/>
          <w:bCs/>
          <w:sz w:val="22"/>
          <w:szCs w:val="22"/>
        </w:rPr>
        <w:t>Anexo 3</w:t>
      </w:r>
      <w:r>
        <w:rPr>
          <w:rFonts w:eastAsia="Arial" w:cs="Tahoma"/>
          <w:b/>
          <w:bCs/>
          <w:sz w:val="22"/>
          <w:szCs w:val="22"/>
        </w:rPr>
        <w:t>9</w:t>
      </w:r>
    </w:p>
    <w:p w14:paraId="3CC20D60" w14:textId="77777777" w:rsidR="00DE3C06" w:rsidRPr="000C5171" w:rsidRDefault="00DE3C06" w:rsidP="00DE3C06">
      <w:pPr>
        <w:spacing w:line="276" w:lineRule="auto"/>
        <w:ind w:left="426" w:hanging="284"/>
        <w:jc w:val="both"/>
        <w:rPr>
          <w:rFonts w:eastAsia="Arial" w:cs="Tahoma"/>
          <w:sz w:val="22"/>
          <w:szCs w:val="22"/>
          <w:highlight w:val="magenta"/>
        </w:rPr>
      </w:pPr>
      <w:r w:rsidRPr="000C5171">
        <w:rPr>
          <w:rFonts w:eastAsia="Arial" w:cs="Tahoma"/>
          <w:sz w:val="22"/>
          <w:szCs w:val="22"/>
        </w:rPr>
        <w:t>•</w:t>
      </w:r>
      <w:r w:rsidRPr="000C5171">
        <w:rPr>
          <w:rFonts w:eastAsia="Arial" w:cs="Tahoma"/>
          <w:sz w:val="22"/>
          <w:szCs w:val="22"/>
        </w:rPr>
        <w:tab/>
        <w:t>Contrato MINTIC-ART ejecutado por FINDETER, denominado Proyecto Zonas Comunitarias para la Paz: Continuar con los requerimientos a FINDETER para que cumpla sus obligaciones contractuales a fin de efectuar la transferencia de los equipos y garantizar la continuidad la operación de internet en 1405 sedes educativas de 160 municipios PDET que beneficia a 1.089.469 estudiantes y ciudadanos. Los contratos suscritos por FINDETER, con recursos del MINTIC para la prestación del servicio finalizan el 31 de diciembre del 2026.</w:t>
      </w:r>
    </w:p>
    <w:p w14:paraId="7B87DD83" w14:textId="77777777" w:rsidR="00DE3C06" w:rsidRPr="000C5171" w:rsidRDefault="00DE3C06" w:rsidP="00DE3C06">
      <w:pPr>
        <w:spacing w:line="276" w:lineRule="auto"/>
        <w:rPr>
          <w:rFonts w:eastAsia="Arial" w:cs="Tahoma"/>
          <w:sz w:val="22"/>
          <w:szCs w:val="22"/>
          <w:highlight w:val="magenta"/>
        </w:rPr>
      </w:pPr>
    </w:p>
    <w:p w14:paraId="2649D464" w14:textId="77777777" w:rsidR="00DE3C06" w:rsidRPr="000C5171" w:rsidRDefault="00DE3C06">
      <w:pPr>
        <w:pStyle w:val="Ttulo1"/>
        <w:numPr>
          <w:ilvl w:val="0"/>
          <w:numId w:val="2"/>
        </w:numPr>
        <w:spacing w:line="276" w:lineRule="auto"/>
        <w:ind w:left="0" w:firstLine="0"/>
        <w:rPr>
          <w:rFonts w:cs="Tahoma"/>
        </w:rPr>
      </w:pPr>
      <w:bookmarkStart w:id="60" w:name="_Toc234168119"/>
      <w:bookmarkEnd w:id="59"/>
      <w:r w:rsidRPr="000C5171">
        <w:rPr>
          <w:rFonts w:cs="Tahoma"/>
        </w:rPr>
        <w:t>SISTEMAS DE INFORMACIÓN Y BASES DE DATOS</w:t>
      </w:r>
      <w:bookmarkEnd w:id="60"/>
      <w:r w:rsidRPr="000C5171">
        <w:rPr>
          <w:rFonts w:cs="Tahoma"/>
        </w:rPr>
        <w:tab/>
      </w:r>
    </w:p>
    <w:p w14:paraId="7965C615" w14:textId="77777777" w:rsidR="00DE3C06" w:rsidRPr="000C5171" w:rsidRDefault="00DE3C06" w:rsidP="00DE3C06">
      <w:pPr>
        <w:pStyle w:val="Ttulo1"/>
        <w:spacing w:line="276" w:lineRule="auto"/>
        <w:ind w:left="927"/>
        <w:rPr>
          <w:rFonts w:cs="Tahoma"/>
        </w:rPr>
      </w:pPr>
      <w:r w:rsidRPr="000C5171">
        <w:rPr>
          <w:rFonts w:cs="Tahoma"/>
        </w:rPr>
        <w:tab/>
      </w:r>
      <w:r w:rsidRPr="000C5171">
        <w:rPr>
          <w:rFonts w:cs="Tahoma"/>
        </w:rPr>
        <w:tab/>
      </w:r>
      <w:r w:rsidRPr="000C5171">
        <w:rPr>
          <w:rFonts w:cs="Tahoma"/>
          <w:highlight w:val="yellow"/>
        </w:rPr>
        <w:t xml:space="preserve"> </w:t>
      </w:r>
    </w:p>
    <w:p w14:paraId="506D17F4" w14:textId="77777777" w:rsidR="00DE3C06" w:rsidRPr="000C5171" w:rsidRDefault="00DE3C06" w:rsidP="00DE3C06">
      <w:pPr>
        <w:spacing w:line="276" w:lineRule="auto"/>
        <w:rPr>
          <w:rFonts w:eastAsia="MS Mincho" w:cs="Arial"/>
          <w:b/>
          <w:bCs/>
          <w:sz w:val="22"/>
          <w:szCs w:val="22"/>
        </w:rPr>
      </w:pPr>
      <w:r w:rsidRPr="000C5171">
        <w:rPr>
          <w:sz w:val="22"/>
          <w:szCs w:val="22"/>
        </w:rPr>
        <w:t xml:space="preserve">A continuación, se describen los sistemas y bases de datos que administra y operan en la entidad. Así mismo se incluye en el </w:t>
      </w:r>
      <w:r w:rsidRPr="000C5171">
        <w:rPr>
          <w:rFonts w:eastAsia="Arial" w:cs="Tahoma"/>
          <w:b/>
          <w:bCs/>
          <w:sz w:val="22"/>
          <w:szCs w:val="22"/>
          <w:u w:val="single"/>
        </w:rPr>
        <w:t>ANEXO</w:t>
      </w:r>
      <w:r w:rsidRPr="000C5171">
        <w:rPr>
          <w:b/>
          <w:bCs/>
          <w:sz w:val="22"/>
          <w:szCs w:val="22"/>
        </w:rPr>
        <w:t xml:space="preserve"> </w:t>
      </w:r>
      <w:r>
        <w:rPr>
          <w:b/>
          <w:bCs/>
          <w:sz w:val="22"/>
          <w:szCs w:val="22"/>
        </w:rPr>
        <w:t>40</w:t>
      </w:r>
      <w:r w:rsidRPr="000C5171">
        <w:rPr>
          <w:sz w:val="22"/>
          <w:szCs w:val="22"/>
        </w:rPr>
        <w:t xml:space="preserve"> la tabla que describe los sistemas de información y se incluye dentro del presente documento para facilitar la lectura a continuación:</w:t>
      </w:r>
    </w:p>
    <w:tbl>
      <w:tblPr>
        <w:tblW w:w="8580" w:type="dxa"/>
        <w:tblInd w:w="5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1983"/>
        <w:gridCol w:w="5873"/>
      </w:tblGrid>
      <w:tr w:rsidR="00DE3C06" w:rsidRPr="000C5171" w14:paraId="7CA3184A" w14:textId="77777777" w:rsidTr="008A49D0">
        <w:trPr>
          <w:trHeight w:val="300"/>
        </w:trPr>
        <w:tc>
          <w:tcPr>
            <w:tcW w:w="72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hideMark/>
          </w:tcPr>
          <w:p w14:paraId="043CBD17" w14:textId="77777777" w:rsidR="00DE3C06" w:rsidRPr="000C5171" w:rsidRDefault="00DE3C06" w:rsidP="008A49D0">
            <w:pPr>
              <w:spacing w:line="276" w:lineRule="auto"/>
              <w:rPr>
                <w:rFonts w:eastAsia="Nunito" w:cs="Arial"/>
                <w:b/>
                <w:sz w:val="22"/>
                <w:szCs w:val="22"/>
              </w:rPr>
            </w:pPr>
            <w:r w:rsidRPr="000C5171">
              <w:rPr>
                <w:rFonts w:eastAsia="Nunito" w:cs="Arial"/>
                <w:sz w:val="22"/>
                <w:szCs w:val="22"/>
              </w:rPr>
              <w:t>Ítem.</w:t>
            </w:r>
          </w:p>
        </w:tc>
        <w:tc>
          <w:tcPr>
            <w:tcW w:w="1983"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hideMark/>
          </w:tcPr>
          <w:p w14:paraId="292EDFD7" w14:textId="77777777" w:rsidR="00DE3C06" w:rsidRPr="000C5171" w:rsidRDefault="00DE3C06" w:rsidP="008A49D0">
            <w:pPr>
              <w:spacing w:line="276" w:lineRule="auto"/>
              <w:rPr>
                <w:rFonts w:eastAsia="Nunito" w:cs="Arial"/>
                <w:b/>
                <w:sz w:val="22"/>
                <w:szCs w:val="22"/>
              </w:rPr>
            </w:pPr>
            <w:r w:rsidRPr="000C5171">
              <w:rPr>
                <w:rFonts w:eastAsia="Nunito" w:cs="Arial"/>
                <w:sz w:val="22"/>
                <w:szCs w:val="22"/>
              </w:rPr>
              <w:t>Nombre del sistema</w:t>
            </w:r>
          </w:p>
        </w:tc>
        <w:tc>
          <w:tcPr>
            <w:tcW w:w="5873"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hideMark/>
          </w:tcPr>
          <w:p w14:paraId="064E15B3" w14:textId="77777777" w:rsidR="00DE3C06" w:rsidRPr="000C5171" w:rsidRDefault="00DE3C06" w:rsidP="008A49D0">
            <w:pPr>
              <w:spacing w:line="276" w:lineRule="auto"/>
              <w:rPr>
                <w:rFonts w:eastAsia="Nunito" w:cs="Arial"/>
                <w:b/>
                <w:sz w:val="22"/>
                <w:szCs w:val="22"/>
              </w:rPr>
            </w:pPr>
            <w:r w:rsidRPr="000C5171">
              <w:rPr>
                <w:rFonts w:eastAsia="Nunito" w:cs="Arial"/>
                <w:sz w:val="22"/>
                <w:szCs w:val="22"/>
              </w:rPr>
              <w:t>Descripción</w:t>
            </w:r>
          </w:p>
        </w:tc>
      </w:tr>
      <w:tr w:rsidR="00DE3C06" w:rsidRPr="000C5171" w14:paraId="7BC817FF" w14:textId="77777777" w:rsidTr="008A49D0">
        <w:trPr>
          <w:trHeight w:val="300"/>
        </w:trPr>
        <w:tc>
          <w:tcPr>
            <w:tcW w:w="724" w:type="dxa"/>
            <w:tcBorders>
              <w:top w:val="single" w:sz="4" w:space="0" w:color="auto"/>
              <w:left w:val="single" w:sz="4" w:space="0" w:color="auto"/>
              <w:bottom w:val="single" w:sz="4" w:space="0" w:color="auto"/>
              <w:right w:val="single" w:sz="4" w:space="0" w:color="auto"/>
            </w:tcBorders>
            <w:shd w:val="clear" w:color="auto" w:fill="C1F0C7" w:themeFill="accent3" w:themeFillTint="33"/>
            <w:tcMar>
              <w:top w:w="0" w:type="dxa"/>
              <w:left w:w="105" w:type="dxa"/>
              <w:bottom w:w="0" w:type="dxa"/>
              <w:right w:w="105" w:type="dxa"/>
            </w:tcMar>
            <w:hideMark/>
          </w:tcPr>
          <w:p w14:paraId="17E7CBCB" w14:textId="77777777" w:rsidR="00DE3C06" w:rsidRPr="000C5171" w:rsidRDefault="00DE3C06" w:rsidP="008A49D0">
            <w:pPr>
              <w:spacing w:line="276" w:lineRule="auto"/>
              <w:rPr>
                <w:rFonts w:eastAsia="Nunito" w:cs="Arial"/>
                <w:sz w:val="22"/>
                <w:szCs w:val="22"/>
              </w:rPr>
            </w:pPr>
            <w:r w:rsidRPr="000C5171">
              <w:rPr>
                <w:rFonts w:eastAsia="Nunito" w:cs="Arial"/>
                <w:sz w:val="22"/>
                <w:szCs w:val="22"/>
              </w:rPr>
              <w:t>1</w:t>
            </w:r>
          </w:p>
        </w:tc>
        <w:tc>
          <w:tcPr>
            <w:tcW w:w="1983"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hideMark/>
          </w:tcPr>
          <w:p w14:paraId="3281D66E" w14:textId="77777777" w:rsidR="00DE3C06" w:rsidRPr="000C5171" w:rsidRDefault="00DE3C06" w:rsidP="008A49D0">
            <w:pPr>
              <w:spacing w:line="276" w:lineRule="auto"/>
              <w:rPr>
                <w:rFonts w:eastAsia="Nunito" w:cs="Arial"/>
                <w:sz w:val="22"/>
                <w:szCs w:val="22"/>
              </w:rPr>
            </w:pPr>
            <w:r w:rsidRPr="000C5171">
              <w:rPr>
                <w:rFonts w:eastAsia="Nunito" w:cs="Arial"/>
                <w:sz w:val="22"/>
                <w:szCs w:val="22"/>
              </w:rPr>
              <w:t xml:space="preserve">Sistema de Información de Gestión de Oferta </w:t>
            </w:r>
          </w:p>
        </w:tc>
        <w:tc>
          <w:tcPr>
            <w:tcW w:w="5873"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hideMark/>
          </w:tcPr>
          <w:p w14:paraId="3A0C0FD4" w14:textId="77777777" w:rsidR="00DE3C06" w:rsidRPr="000C5171" w:rsidRDefault="00DE3C06" w:rsidP="008A49D0">
            <w:pPr>
              <w:spacing w:line="276" w:lineRule="auto"/>
              <w:rPr>
                <w:rFonts w:eastAsia="Nunito" w:cs="Arial"/>
                <w:sz w:val="22"/>
                <w:szCs w:val="22"/>
              </w:rPr>
            </w:pPr>
            <w:r w:rsidRPr="000C5171">
              <w:rPr>
                <w:rFonts w:eastAsia="Nunito" w:cs="Arial"/>
                <w:sz w:val="22"/>
                <w:szCs w:val="22"/>
              </w:rPr>
              <w:t>Consolidar y gestionar la información relevante de los territorios PDET, incluyendo sus iniciativas y proyectos, con el propósito de facilitar el seguimiento, fortalecer la toma de decisiones y apoyar la planeación estratégica. Este proceso se estructura en ocho módulos.</w:t>
            </w:r>
            <w:r w:rsidRPr="000C5171">
              <w:rPr>
                <w:rFonts w:eastAsia="Nunito" w:cs="Arial"/>
                <w:sz w:val="22"/>
                <w:szCs w:val="22"/>
              </w:rPr>
              <w:br/>
            </w:r>
            <w:r w:rsidRPr="000C5171">
              <w:rPr>
                <w:rFonts w:eastAsia="Nunito" w:cs="Arial"/>
                <w:sz w:val="22"/>
                <w:szCs w:val="22"/>
              </w:rPr>
              <w:br/>
              <w:t>1. Administración de roles y accesos.</w:t>
            </w:r>
            <w:r w:rsidRPr="000C5171">
              <w:rPr>
                <w:rFonts w:eastAsia="Nunito" w:cs="Arial"/>
                <w:sz w:val="22"/>
                <w:szCs w:val="22"/>
              </w:rPr>
              <w:br/>
            </w:r>
            <w:r w:rsidRPr="000C5171">
              <w:rPr>
                <w:rFonts w:eastAsia="Nunito" w:cs="Arial"/>
                <w:sz w:val="22"/>
                <w:szCs w:val="22"/>
              </w:rPr>
              <w:lastRenderedPageBreak/>
              <w:t>2. Banco de Proyectos.</w:t>
            </w:r>
            <w:r w:rsidRPr="000C5171">
              <w:rPr>
                <w:rFonts w:eastAsia="Nunito" w:cs="Arial"/>
                <w:sz w:val="22"/>
                <w:szCs w:val="22"/>
              </w:rPr>
              <w:br/>
              <w:t>3. Clasificación y Gestión de Iniciativas (Portafolio).</w:t>
            </w:r>
            <w:r w:rsidRPr="000C5171">
              <w:rPr>
                <w:rFonts w:eastAsia="Nunito" w:cs="Arial"/>
                <w:sz w:val="22"/>
                <w:szCs w:val="22"/>
              </w:rPr>
              <w:br/>
              <w:t>4. Certificación OCAD Paz.</w:t>
            </w:r>
            <w:r w:rsidRPr="000C5171">
              <w:rPr>
                <w:rFonts w:eastAsia="Nunito" w:cs="Arial"/>
                <w:sz w:val="22"/>
                <w:szCs w:val="22"/>
              </w:rPr>
              <w:br/>
              <w:t xml:space="preserve">5. Obras por Impuestos. </w:t>
            </w:r>
            <w:r w:rsidRPr="000C5171">
              <w:rPr>
                <w:rFonts w:eastAsia="Nunito" w:cs="Arial"/>
                <w:sz w:val="22"/>
                <w:szCs w:val="22"/>
              </w:rPr>
              <w:br/>
              <w:t>6. Listados del Sistema de Gestión de Oferta.</w:t>
            </w:r>
            <w:r w:rsidRPr="000C5171">
              <w:rPr>
                <w:rFonts w:eastAsia="Nunito" w:cs="Arial"/>
                <w:sz w:val="22"/>
                <w:szCs w:val="22"/>
              </w:rPr>
              <w:br/>
              <w:t>7. Gestiones, Contratos y Convenios.</w:t>
            </w:r>
            <w:r w:rsidRPr="000C5171">
              <w:rPr>
                <w:rFonts w:eastAsia="Nunito" w:cs="Arial"/>
                <w:sz w:val="22"/>
                <w:szCs w:val="22"/>
              </w:rPr>
              <w:br/>
              <w:t>8. Esquema de acompañamiento a proyectos PDET.</w:t>
            </w:r>
          </w:p>
        </w:tc>
      </w:tr>
      <w:tr w:rsidR="00DE3C06" w:rsidRPr="000C5171" w14:paraId="7E3EFBBF" w14:textId="77777777" w:rsidTr="008A49D0">
        <w:trPr>
          <w:trHeight w:val="300"/>
        </w:trPr>
        <w:tc>
          <w:tcPr>
            <w:tcW w:w="72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14:paraId="464D85A0" w14:textId="77777777" w:rsidR="00DE3C06" w:rsidRPr="000C5171" w:rsidRDefault="00DE3C06" w:rsidP="008A49D0">
            <w:pPr>
              <w:spacing w:line="276" w:lineRule="auto"/>
              <w:rPr>
                <w:rFonts w:eastAsia="Nunito" w:cs="Arial"/>
                <w:sz w:val="22"/>
                <w:szCs w:val="22"/>
              </w:rPr>
            </w:pPr>
            <w:r w:rsidRPr="000C5171">
              <w:rPr>
                <w:rFonts w:eastAsia="Nunito" w:cs="Arial"/>
                <w:sz w:val="22"/>
                <w:szCs w:val="22"/>
              </w:rPr>
              <w:lastRenderedPageBreak/>
              <w:t>2</w:t>
            </w:r>
          </w:p>
        </w:tc>
        <w:tc>
          <w:tcPr>
            <w:tcW w:w="1983"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14:paraId="270C2BDC" w14:textId="77777777" w:rsidR="00DE3C06" w:rsidRPr="000C5171" w:rsidRDefault="00DE3C06" w:rsidP="008A49D0">
            <w:pPr>
              <w:spacing w:line="276" w:lineRule="auto"/>
              <w:rPr>
                <w:rFonts w:eastAsia="Nunito" w:cs="Arial"/>
                <w:sz w:val="22"/>
                <w:szCs w:val="22"/>
              </w:rPr>
            </w:pPr>
            <w:r w:rsidRPr="000C5171">
              <w:rPr>
                <w:rFonts w:eastAsia="Times New Roman" w:cs="Times New Roman"/>
                <w:color w:val="000000"/>
                <w:sz w:val="22"/>
                <w:szCs w:val="22"/>
                <w:lang w:eastAsia="es-CO"/>
              </w:rPr>
              <w:t>Sistema PDET</w:t>
            </w:r>
          </w:p>
        </w:tc>
        <w:tc>
          <w:tcPr>
            <w:tcW w:w="5873"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14:paraId="18FB5D82" w14:textId="77777777" w:rsidR="00DE3C06" w:rsidRPr="000C5171" w:rsidRDefault="00DE3C06" w:rsidP="008A49D0">
            <w:pPr>
              <w:spacing w:line="276" w:lineRule="auto"/>
              <w:jc w:val="both"/>
              <w:rPr>
                <w:rFonts w:eastAsia="Nunito" w:cs="Arial"/>
                <w:sz w:val="22"/>
                <w:szCs w:val="22"/>
              </w:rPr>
            </w:pPr>
            <w:r w:rsidRPr="000C5171">
              <w:rPr>
                <w:rFonts w:eastAsia="Times New Roman" w:cs="Times New Roman"/>
                <w:color w:val="000000"/>
                <w:sz w:val="22"/>
                <w:szCs w:val="22"/>
                <w:lang w:eastAsia="es-CO"/>
              </w:rPr>
              <w:t>Sistema de información con el cual se digitalizó y se llevó a cabo el proceso en las regiones de definición de los PDET a partir de las necesidades con las comunidades entre los años 2017 y 2019. Actualmente es de solo consulta.</w:t>
            </w:r>
          </w:p>
        </w:tc>
      </w:tr>
      <w:tr w:rsidR="00DE3C06" w:rsidRPr="000C5171" w14:paraId="1DD36294" w14:textId="77777777" w:rsidTr="008A49D0">
        <w:trPr>
          <w:trHeight w:val="300"/>
        </w:trPr>
        <w:tc>
          <w:tcPr>
            <w:tcW w:w="72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hideMark/>
          </w:tcPr>
          <w:p w14:paraId="514CBF14" w14:textId="77777777" w:rsidR="00DE3C06" w:rsidRPr="000C5171" w:rsidRDefault="00DE3C06" w:rsidP="008A49D0">
            <w:pPr>
              <w:spacing w:line="276" w:lineRule="auto"/>
              <w:rPr>
                <w:rFonts w:eastAsia="Nunito" w:cs="Arial"/>
                <w:sz w:val="22"/>
                <w:szCs w:val="22"/>
              </w:rPr>
            </w:pPr>
            <w:r w:rsidRPr="000C5171">
              <w:rPr>
                <w:rFonts w:eastAsia="Nunito" w:cs="Arial"/>
                <w:sz w:val="22"/>
                <w:szCs w:val="22"/>
              </w:rPr>
              <w:t>3</w:t>
            </w:r>
          </w:p>
        </w:tc>
        <w:tc>
          <w:tcPr>
            <w:tcW w:w="1983"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hideMark/>
          </w:tcPr>
          <w:p w14:paraId="084B434D" w14:textId="77777777" w:rsidR="00DE3C06" w:rsidRPr="000C5171" w:rsidRDefault="00DE3C06" w:rsidP="008A49D0">
            <w:pPr>
              <w:spacing w:line="276" w:lineRule="auto"/>
              <w:rPr>
                <w:rFonts w:eastAsia="Nunito" w:cs="Arial"/>
                <w:sz w:val="22"/>
                <w:szCs w:val="22"/>
              </w:rPr>
            </w:pPr>
            <w:r w:rsidRPr="000C5171">
              <w:rPr>
                <w:rFonts w:eastAsia="Nunito" w:cs="Arial"/>
                <w:sz w:val="22"/>
                <w:szCs w:val="22"/>
              </w:rPr>
              <w:t>Central de Información PDET</w:t>
            </w:r>
          </w:p>
        </w:tc>
        <w:tc>
          <w:tcPr>
            <w:tcW w:w="5873"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hideMark/>
          </w:tcPr>
          <w:p w14:paraId="4A619D11" w14:textId="77777777" w:rsidR="00DE3C06" w:rsidRPr="000C5171" w:rsidRDefault="00DE3C06" w:rsidP="008A49D0">
            <w:pPr>
              <w:spacing w:line="276" w:lineRule="auto"/>
              <w:jc w:val="both"/>
              <w:rPr>
                <w:rFonts w:eastAsia="Nunito" w:cs="Arial"/>
                <w:sz w:val="22"/>
                <w:szCs w:val="22"/>
              </w:rPr>
            </w:pPr>
            <w:r w:rsidRPr="000C5171">
              <w:rPr>
                <w:rFonts w:eastAsia="Nunito" w:cs="Arial"/>
                <w:sz w:val="22"/>
                <w:szCs w:val="22"/>
              </w:rPr>
              <w:t>Portal que contiene información de las iniciativas PDET, proyectos, avance general de cómo está la entidad.  Los reportes se visualizan en Power BI</w:t>
            </w:r>
          </w:p>
        </w:tc>
      </w:tr>
      <w:tr w:rsidR="00DE3C06" w:rsidRPr="000C5171" w14:paraId="01D0E5B7" w14:textId="77777777" w:rsidTr="008A49D0">
        <w:trPr>
          <w:trHeight w:val="300"/>
        </w:trPr>
        <w:tc>
          <w:tcPr>
            <w:tcW w:w="724" w:type="dxa"/>
            <w:tcBorders>
              <w:top w:val="single" w:sz="4" w:space="0" w:color="auto"/>
              <w:left w:val="single" w:sz="4" w:space="0" w:color="auto"/>
              <w:bottom w:val="single" w:sz="4" w:space="0" w:color="auto"/>
              <w:right w:val="single" w:sz="4" w:space="0" w:color="auto"/>
            </w:tcBorders>
            <w:shd w:val="clear" w:color="auto" w:fill="C1F0C7" w:themeFill="accent3" w:themeFillTint="33"/>
            <w:tcMar>
              <w:top w:w="0" w:type="dxa"/>
              <w:left w:w="105" w:type="dxa"/>
              <w:bottom w:w="0" w:type="dxa"/>
              <w:right w:w="105" w:type="dxa"/>
            </w:tcMar>
            <w:hideMark/>
          </w:tcPr>
          <w:p w14:paraId="51799398" w14:textId="77777777" w:rsidR="00DE3C06" w:rsidRPr="000C5171" w:rsidRDefault="00DE3C06" w:rsidP="008A49D0">
            <w:pPr>
              <w:spacing w:line="276" w:lineRule="auto"/>
              <w:rPr>
                <w:rFonts w:eastAsia="Nunito" w:cs="Arial"/>
                <w:sz w:val="22"/>
                <w:szCs w:val="22"/>
              </w:rPr>
            </w:pPr>
            <w:r w:rsidRPr="000C5171">
              <w:rPr>
                <w:rFonts w:eastAsia="Nunito" w:cs="Arial"/>
                <w:sz w:val="22"/>
                <w:szCs w:val="22"/>
              </w:rPr>
              <w:t>4</w:t>
            </w:r>
          </w:p>
        </w:tc>
        <w:tc>
          <w:tcPr>
            <w:tcW w:w="1983"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hideMark/>
          </w:tcPr>
          <w:p w14:paraId="4020012A" w14:textId="77777777" w:rsidR="00DE3C06" w:rsidRPr="000C5171" w:rsidRDefault="00DE3C06" w:rsidP="008A49D0">
            <w:pPr>
              <w:spacing w:line="276" w:lineRule="auto"/>
              <w:rPr>
                <w:rFonts w:eastAsia="Nunito" w:cs="Arial"/>
                <w:sz w:val="22"/>
                <w:szCs w:val="22"/>
              </w:rPr>
            </w:pPr>
            <w:r w:rsidRPr="000C5171">
              <w:rPr>
                <w:rFonts w:eastAsia="Nunito" w:cs="Arial"/>
                <w:sz w:val="22"/>
                <w:szCs w:val="22"/>
              </w:rPr>
              <w:t>Sistema de Información Geográfico</w:t>
            </w:r>
          </w:p>
        </w:tc>
        <w:tc>
          <w:tcPr>
            <w:tcW w:w="5873"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hideMark/>
          </w:tcPr>
          <w:p w14:paraId="26D98505" w14:textId="77777777" w:rsidR="00DE3C06" w:rsidRPr="000C5171" w:rsidRDefault="00DE3C06" w:rsidP="008A49D0">
            <w:pPr>
              <w:spacing w:line="276" w:lineRule="auto"/>
              <w:jc w:val="both"/>
              <w:rPr>
                <w:rFonts w:eastAsia="Nunito" w:cs="Arial"/>
                <w:sz w:val="22"/>
                <w:szCs w:val="22"/>
              </w:rPr>
            </w:pPr>
            <w:r w:rsidRPr="000C5171">
              <w:rPr>
                <w:rFonts w:eastAsia="Nunito" w:cs="Arial"/>
                <w:sz w:val="22"/>
                <w:szCs w:val="22"/>
              </w:rPr>
              <w:t xml:space="preserve">Consolidar, gestionar, analizar, visualizar y difundir información espacial de los territorios PDET y sus iniciativas para la toma de decisiones estratégicas, seguimiento y evaluación de impacto, y fomento de la transparencia, a través del acceso controlado a la plataforma ArcGIS de </w:t>
            </w:r>
            <w:proofErr w:type="spellStart"/>
            <w:r w:rsidRPr="000C5171">
              <w:rPr>
                <w:rFonts w:eastAsia="Nunito" w:cs="Arial"/>
                <w:sz w:val="22"/>
                <w:szCs w:val="22"/>
              </w:rPr>
              <w:t>Esri</w:t>
            </w:r>
            <w:proofErr w:type="spellEnd"/>
            <w:r w:rsidRPr="000C5171">
              <w:rPr>
                <w:rFonts w:eastAsia="Nunito" w:cs="Arial"/>
                <w:sz w:val="22"/>
                <w:szCs w:val="22"/>
              </w:rPr>
              <w:t>, mediante una licencia corporativa.</w:t>
            </w:r>
          </w:p>
        </w:tc>
      </w:tr>
      <w:tr w:rsidR="00DE3C06" w:rsidRPr="000C5171" w14:paraId="61486BDF" w14:textId="77777777" w:rsidTr="008A49D0">
        <w:trPr>
          <w:trHeight w:val="300"/>
        </w:trPr>
        <w:tc>
          <w:tcPr>
            <w:tcW w:w="72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hideMark/>
          </w:tcPr>
          <w:p w14:paraId="4609493D" w14:textId="77777777" w:rsidR="00DE3C06" w:rsidRPr="000C5171" w:rsidRDefault="00DE3C06" w:rsidP="008A49D0">
            <w:pPr>
              <w:spacing w:line="276" w:lineRule="auto"/>
              <w:rPr>
                <w:rFonts w:eastAsia="Nunito" w:cs="Arial"/>
                <w:sz w:val="22"/>
                <w:szCs w:val="22"/>
              </w:rPr>
            </w:pPr>
            <w:r w:rsidRPr="000C5171">
              <w:rPr>
                <w:rFonts w:eastAsia="Nunito" w:cs="Arial"/>
                <w:sz w:val="22"/>
                <w:szCs w:val="22"/>
              </w:rPr>
              <w:t>5</w:t>
            </w:r>
          </w:p>
        </w:tc>
        <w:tc>
          <w:tcPr>
            <w:tcW w:w="1983"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hideMark/>
          </w:tcPr>
          <w:p w14:paraId="6D4B85FF" w14:textId="77777777" w:rsidR="00DE3C06" w:rsidRPr="000C5171" w:rsidRDefault="00DE3C06" w:rsidP="008A49D0">
            <w:pPr>
              <w:spacing w:line="276" w:lineRule="auto"/>
              <w:rPr>
                <w:rFonts w:eastAsia="Nunito" w:cs="Arial"/>
                <w:sz w:val="22"/>
                <w:szCs w:val="22"/>
              </w:rPr>
            </w:pPr>
            <w:r w:rsidRPr="000C5171">
              <w:rPr>
                <w:rFonts w:eastAsia="Nunito" w:cs="Arial"/>
                <w:sz w:val="22"/>
                <w:szCs w:val="22"/>
              </w:rPr>
              <w:t>Sistema de información del PNIS</w:t>
            </w:r>
          </w:p>
        </w:tc>
        <w:tc>
          <w:tcPr>
            <w:tcW w:w="5873"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hideMark/>
          </w:tcPr>
          <w:p w14:paraId="05607A81" w14:textId="77777777" w:rsidR="00DE3C06" w:rsidRPr="000C5171" w:rsidRDefault="00DE3C06" w:rsidP="008A49D0">
            <w:pPr>
              <w:spacing w:line="276" w:lineRule="auto"/>
              <w:jc w:val="both"/>
              <w:rPr>
                <w:rFonts w:eastAsia="Nunito" w:cs="Arial"/>
                <w:sz w:val="22"/>
                <w:szCs w:val="22"/>
              </w:rPr>
            </w:pPr>
            <w:r w:rsidRPr="000C5171">
              <w:rPr>
                <w:rFonts w:eastAsia="Nunito" w:cs="Arial"/>
                <w:sz w:val="22"/>
                <w:szCs w:val="22"/>
              </w:rPr>
              <w:t>Plataforma que consolida, administra y mantiene actualizado el registro de las familias vinculadas al Programa Nacional Integral de Sustitución de Cultivos Ilícitos (PNIS), facilitando la gestión de datos, el seguimiento de compromisos y la evaluación de avances en el marco de la política de sustitución.</w:t>
            </w:r>
          </w:p>
        </w:tc>
      </w:tr>
      <w:tr w:rsidR="00DE3C06" w:rsidRPr="000C5171" w14:paraId="5623ED12" w14:textId="77777777" w:rsidTr="008A49D0">
        <w:trPr>
          <w:trHeight w:val="300"/>
        </w:trPr>
        <w:tc>
          <w:tcPr>
            <w:tcW w:w="724" w:type="dxa"/>
            <w:tcBorders>
              <w:top w:val="single" w:sz="4" w:space="0" w:color="auto"/>
              <w:left w:val="single" w:sz="4" w:space="0" w:color="auto"/>
              <w:bottom w:val="single" w:sz="4" w:space="0" w:color="auto"/>
              <w:right w:val="single" w:sz="4" w:space="0" w:color="auto"/>
            </w:tcBorders>
            <w:shd w:val="clear" w:color="auto" w:fill="C1F0C7" w:themeFill="accent3" w:themeFillTint="33"/>
            <w:tcMar>
              <w:top w:w="0" w:type="dxa"/>
              <w:left w:w="105" w:type="dxa"/>
              <w:bottom w:w="0" w:type="dxa"/>
              <w:right w:w="105" w:type="dxa"/>
            </w:tcMar>
            <w:hideMark/>
          </w:tcPr>
          <w:p w14:paraId="325F2F04" w14:textId="77777777" w:rsidR="00DE3C06" w:rsidRPr="000C5171" w:rsidRDefault="00DE3C06" w:rsidP="008A49D0">
            <w:pPr>
              <w:spacing w:line="276" w:lineRule="auto"/>
              <w:rPr>
                <w:rFonts w:eastAsia="Nunito" w:cs="Arial"/>
                <w:sz w:val="22"/>
                <w:szCs w:val="22"/>
              </w:rPr>
            </w:pPr>
            <w:r w:rsidRPr="000C5171">
              <w:rPr>
                <w:rFonts w:eastAsia="Nunito" w:cs="Arial"/>
                <w:sz w:val="22"/>
                <w:szCs w:val="22"/>
              </w:rPr>
              <w:t>6</w:t>
            </w:r>
          </w:p>
        </w:tc>
        <w:tc>
          <w:tcPr>
            <w:tcW w:w="1983"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hideMark/>
          </w:tcPr>
          <w:p w14:paraId="089B809A" w14:textId="77777777" w:rsidR="00DE3C06" w:rsidRPr="000C5171" w:rsidRDefault="00DE3C06" w:rsidP="008A49D0">
            <w:pPr>
              <w:spacing w:line="276" w:lineRule="auto"/>
              <w:rPr>
                <w:rFonts w:eastAsia="Nunito" w:cs="Arial"/>
                <w:sz w:val="22"/>
                <w:szCs w:val="22"/>
              </w:rPr>
            </w:pPr>
            <w:r w:rsidRPr="000C5171">
              <w:rPr>
                <w:rFonts w:eastAsia="Nunito" w:cs="Arial"/>
                <w:sz w:val="22"/>
                <w:szCs w:val="22"/>
              </w:rPr>
              <w:t>SYNERSIS ERP</w:t>
            </w:r>
          </w:p>
        </w:tc>
        <w:tc>
          <w:tcPr>
            <w:tcW w:w="5873"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hideMark/>
          </w:tcPr>
          <w:p w14:paraId="50A146BF" w14:textId="77777777" w:rsidR="00DE3C06" w:rsidRPr="000C5171" w:rsidRDefault="00DE3C06" w:rsidP="008A49D0">
            <w:pPr>
              <w:spacing w:line="276" w:lineRule="auto"/>
              <w:jc w:val="both"/>
              <w:rPr>
                <w:rFonts w:eastAsia="Nunito" w:cs="Arial"/>
                <w:sz w:val="22"/>
                <w:szCs w:val="22"/>
              </w:rPr>
            </w:pPr>
            <w:r w:rsidRPr="000C5171">
              <w:rPr>
                <w:rFonts w:eastAsia="Nunito" w:cs="Arial"/>
                <w:sz w:val="22"/>
                <w:szCs w:val="22"/>
              </w:rPr>
              <w:t>Sistema de planificación de recursos empresariales (ERP) que integra y gestiona procesos administrativos, financieros y operativos de la entidad, permitiendo un control centralizado de la información, optimización de recursos y apoyo a la toma de decisiones estratégicas.</w:t>
            </w:r>
          </w:p>
        </w:tc>
      </w:tr>
      <w:tr w:rsidR="00DE3C06" w:rsidRPr="000C5171" w14:paraId="5EEE09D4" w14:textId="77777777" w:rsidTr="008A49D0">
        <w:trPr>
          <w:trHeight w:val="300"/>
        </w:trPr>
        <w:tc>
          <w:tcPr>
            <w:tcW w:w="72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hideMark/>
          </w:tcPr>
          <w:p w14:paraId="3B4AA3A8" w14:textId="77777777" w:rsidR="00DE3C06" w:rsidRPr="000C5171" w:rsidRDefault="00DE3C06" w:rsidP="008A49D0">
            <w:pPr>
              <w:spacing w:line="276" w:lineRule="auto"/>
              <w:rPr>
                <w:rFonts w:eastAsia="Nunito" w:cs="Arial"/>
                <w:sz w:val="22"/>
                <w:szCs w:val="22"/>
              </w:rPr>
            </w:pPr>
            <w:r w:rsidRPr="000C5171">
              <w:rPr>
                <w:rFonts w:eastAsia="Nunito" w:cs="Arial"/>
                <w:sz w:val="22"/>
                <w:szCs w:val="22"/>
              </w:rPr>
              <w:t>7</w:t>
            </w:r>
          </w:p>
        </w:tc>
        <w:tc>
          <w:tcPr>
            <w:tcW w:w="1983"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hideMark/>
          </w:tcPr>
          <w:p w14:paraId="39752EE3" w14:textId="77777777" w:rsidR="00DE3C06" w:rsidRPr="000C5171" w:rsidRDefault="00DE3C06" w:rsidP="008A49D0">
            <w:pPr>
              <w:spacing w:line="276" w:lineRule="auto"/>
              <w:rPr>
                <w:rFonts w:eastAsia="Nunito" w:cs="Arial"/>
                <w:sz w:val="22"/>
                <w:szCs w:val="22"/>
              </w:rPr>
            </w:pPr>
            <w:r w:rsidRPr="000C5171">
              <w:rPr>
                <w:rFonts w:eastAsia="Nunito" w:cs="Arial"/>
                <w:sz w:val="22"/>
                <w:szCs w:val="22"/>
              </w:rPr>
              <w:t>ORFEO</w:t>
            </w:r>
          </w:p>
        </w:tc>
        <w:tc>
          <w:tcPr>
            <w:tcW w:w="5873"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hideMark/>
          </w:tcPr>
          <w:p w14:paraId="5F947F8C" w14:textId="77777777" w:rsidR="00DE3C06" w:rsidRPr="000C5171" w:rsidRDefault="00DE3C06" w:rsidP="008A49D0">
            <w:pPr>
              <w:spacing w:line="276" w:lineRule="auto"/>
              <w:jc w:val="both"/>
              <w:rPr>
                <w:rFonts w:eastAsia="Nunito" w:cs="Arial"/>
                <w:sz w:val="22"/>
                <w:szCs w:val="22"/>
              </w:rPr>
            </w:pPr>
            <w:r w:rsidRPr="000C5171">
              <w:rPr>
                <w:rFonts w:eastAsia="Nunito" w:cs="Arial"/>
                <w:sz w:val="22"/>
                <w:szCs w:val="22"/>
              </w:rPr>
              <w:t xml:space="preserve">Sistema gestor documental que organiza, administra y controla el ciclo de vida de los documentos institucionales, garantizando la trazabilidad, seguridad y acceso eficiente a </w:t>
            </w:r>
            <w:r w:rsidRPr="000C5171">
              <w:rPr>
                <w:rFonts w:eastAsia="Nunito" w:cs="Arial"/>
                <w:sz w:val="22"/>
                <w:szCs w:val="22"/>
              </w:rPr>
              <w:lastRenderedPageBreak/>
              <w:t>la información, en cumplimiento de las normas de gestión documental.</w:t>
            </w:r>
          </w:p>
        </w:tc>
      </w:tr>
      <w:tr w:rsidR="00DE3C06" w:rsidRPr="000C5171" w14:paraId="3B330401" w14:textId="77777777" w:rsidTr="008A49D0">
        <w:trPr>
          <w:trHeight w:val="300"/>
        </w:trPr>
        <w:tc>
          <w:tcPr>
            <w:tcW w:w="724" w:type="dxa"/>
            <w:tcBorders>
              <w:top w:val="single" w:sz="4" w:space="0" w:color="auto"/>
              <w:left w:val="single" w:sz="4" w:space="0" w:color="auto"/>
              <w:bottom w:val="single" w:sz="4" w:space="0" w:color="auto"/>
              <w:right w:val="single" w:sz="4" w:space="0" w:color="auto"/>
            </w:tcBorders>
            <w:shd w:val="clear" w:color="auto" w:fill="C1F0C7" w:themeFill="accent3" w:themeFillTint="33"/>
            <w:tcMar>
              <w:top w:w="0" w:type="dxa"/>
              <w:left w:w="105" w:type="dxa"/>
              <w:bottom w:w="0" w:type="dxa"/>
              <w:right w:w="105" w:type="dxa"/>
            </w:tcMar>
            <w:hideMark/>
          </w:tcPr>
          <w:p w14:paraId="6CFC0066" w14:textId="77777777" w:rsidR="00DE3C06" w:rsidRPr="000C5171" w:rsidRDefault="00DE3C06" w:rsidP="008A49D0">
            <w:pPr>
              <w:spacing w:line="276" w:lineRule="auto"/>
              <w:rPr>
                <w:rFonts w:eastAsia="Nunito" w:cs="Arial"/>
                <w:sz w:val="22"/>
                <w:szCs w:val="22"/>
              </w:rPr>
            </w:pPr>
            <w:r w:rsidRPr="000C5171">
              <w:rPr>
                <w:rFonts w:eastAsia="Nunito" w:cs="Arial"/>
                <w:sz w:val="22"/>
                <w:szCs w:val="22"/>
              </w:rPr>
              <w:lastRenderedPageBreak/>
              <w:t>8</w:t>
            </w:r>
          </w:p>
        </w:tc>
        <w:tc>
          <w:tcPr>
            <w:tcW w:w="1983"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hideMark/>
          </w:tcPr>
          <w:p w14:paraId="1AA848F6" w14:textId="77777777" w:rsidR="00DE3C06" w:rsidRPr="000C5171" w:rsidRDefault="00DE3C06" w:rsidP="008A49D0">
            <w:pPr>
              <w:spacing w:line="276" w:lineRule="auto"/>
              <w:rPr>
                <w:rFonts w:eastAsia="Nunito" w:cs="Arial"/>
                <w:sz w:val="22"/>
                <w:szCs w:val="22"/>
              </w:rPr>
            </w:pPr>
            <w:r w:rsidRPr="000C5171">
              <w:rPr>
                <w:rFonts w:eastAsia="Nunito" w:cs="Arial"/>
                <w:sz w:val="22"/>
                <w:szCs w:val="22"/>
              </w:rPr>
              <w:t>PAGINA WEB</w:t>
            </w:r>
          </w:p>
        </w:tc>
        <w:tc>
          <w:tcPr>
            <w:tcW w:w="5873"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hideMark/>
          </w:tcPr>
          <w:p w14:paraId="4503BB3E" w14:textId="77777777" w:rsidR="00DE3C06" w:rsidRPr="000C5171" w:rsidRDefault="00DE3C06" w:rsidP="008A49D0">
            <w:pPr>
              <w:spacing w:line="276" w:lineRule="auto"/>
              <w:jc w:val="both"/>
              <w:rPr>
                <w:rFonts w:eastAsia="Nunito" w:cs="Arial"/>
                <w:sz w:val="22"/>
                <w:szCs w:val="22"/>
              </w:rPr>
            </w:pPr>
            <w:r w:rsidRPr="000C5171">
              <w:rPr>
                <w:rFonts w:eastAsia="Nunito" w:cs="Arial"/>
                <w:sz w:val="22"/>
                <w:szCs w:val="22"/>
              </w:rPr>
              <w:t>Portal institucional de la Agencia de Renovación del Territorio (ART) que difunde información pública, iniciativas y avances de la entidad, promoviendo la transparencia, la participación ciudadana y el acceso abierto a contenidos relevantes para los territorios priorizados.</w:t>
            </w:r>
          </w:p>
        </w:tc>
      </w:tr>
      <w:tr w:rsidR="00DE3C06" w:rsidRPr="000C5171" w14:paraId="0525120F" w14:textId="77777777" w:rsidTr="008A49D0">
        <w:trPr>
          <w:trHeight w:val="300"/>
        </w:trPr>
        <w:tc>
          <w:tcPr>
            <w:tcW w:w="724" w:type="dxa"/>
            <w:tcBorders>
              <w:top w:val="single" w:sz="4" w:space="0" w:color="auto"/>
              <w:left w:val="single" w:sz="4" w:space="0" w:color="auto"/>
              <w:bottom w:val="single" w:sz="4" w:space="0" w:color="auto"/>
              <w:right w:val="single" w:sz="4" w:space="0" w:color="auto"/>
            </w:tcBorders>
            <w:shd w:val="clear" w:color="auto" w:fill="C1F0C7" w:themeFill="accent3" w:themeFillTint="33"/>
            <w:tcMar>
              <w:top w:w="0" w:type="dxa"/>
              <w:left w:w="105" w:type="dxa"/>
              <w:bottom w:w="0" w:type="dxa"/>
              <w:right w:w="105" w:type="dxa"/>
            </w:tcMar>
          </w:tcPr>
          <w:p w14:paraId="2F2D62F8" w14:textId="77777777" w:rsidR="00DE3C06" w:rsidRPr="000C5171" w:rsidRDefault="00DE3C06" w:rsidP="008A49D0">
            <w:pPr>
              <w:spacing w:line="276" w:lineRule="auto"/>
              <w:rPr>
                <w:rFonts w:eastAsia="Nunito" w:cs="Arial"/>
                <w:sz w:val="22"/>
                <w:szCs w:val="22"/>
              </w:rPr>
            </w:pPr>
            <w:r w:rsidRPr="000C5171">
              <w:rPr>
                <w:rFonts w:eastAsia="Nunito" w:cs="Arial"/>
                <w:sz w:val="22"/>
                <w:szCs w:val="22"/>
              </w:rPr>
              <w:t>9</w:t>
            </w:r>
          </w:p>
        </w:tc>
        <w:tc>
          <w:tcPr>
            <w:tcW w:w="1983"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14:paraId="7B3A9E4E" w14:textId="77777777" w:rsidR="00DE3C06" w:rsidRPr="000C5171" w:rsidRDefault="00DE3C06" w:rsidP="008A49D0">
            <w:pPr>
              <w:spacing w:line="276" w:lineRule="auto"/>
              <w:rPr>
                <w:rFonts w:eastAsia="Nunito" w:cs="Arial"/>
                <w:sz w:val="22"/>
                <w:szCs w:val="22"/>
              </w:rPr>
            </w:pPr>
            <w:r w:rsidRPr="000C5171">
              <w:rPr>
                <w:rFonts w:eastAsia="Nunito" w:cs="Arial"/>
                <w:sz w:val="22"/>
                <w:szCs w:val="22"/>
              </w:rPr>
              <w:t>INTRANET ART</w:t>
            </w:r>
            <w:r w:rsidRPr="000C5171">
              <w:rPr>
                <w:rFonts w:eastAsia="Nunito" w:cs="Arial"/>
                <w:sz w:val="22"/>
                <w:szCs w:val="22"/>
              </w:rPr>
              <w:tab/>
            </w:r>
          </w:p>
        </w:tc>
        <w:tc>
          <w:tcPr>
            <w:tcW w:w="5873"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14:paraId="12D80ADA" w14:textId="77777777" w:rsidR="00DE3C06" w:rsidRPr="000C5171" w:rsidRDefault="00DE3C06" w:rsidP="008A49D0">
            <w:pPr>
              <w:spacing w:line="276" w:lineRule="auto"/>
              <w:jc w:val="both"/>
              <w:rPr>
                <w:rFonts w:eastAsia="Nunito" w:cs="Arial"/>
                <w:sz w:val="22"/>
                <w:szCs w:val="22"/>
              </w:rPr>
            </w:pPr>
            <w:r w:rsidRPr="000C5171">
              <w:rPr>
                <w:rFonts w:eastAsia="Nunito" w:cs="Arial"/>
                <w:sz w:val="22"/>
                <w:szCs w:val="22"/>
              </w:rPr>
              <w:t>Es un espacio centralizado que tiene la ART para que los servidores públicos vinculados a la Agencia compartan información, colaboren en proyectos y accedan a recursos internos de forma segura.</w:t>
            </w:r>
          </w:p>
        </w:tc>
      </w:tr>
      <w:tr w:rsidR="00DE3C06" w:rsidRPr="000C5171" w14:paraId="44151CAC" w14:textId="77777777" w:rsidTr="008A49D0">
        <w:trPr>
          <w:trHeight w:val="300"/>
        </w:trPr>
        <w:tc>
          <w:tcPr>
            <w:tcW w:w="72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hideMark/>
          </w:tcPr>
          <w:p w14:paraId="7A327A26" w14:textId="77777777" w:rsidR="00DE3C06" w:rsidRPr="000C5171" w:rsidRDefault="00DE3C06" w:rsidP="008A49D0">
            <w:pPr>
              <w:spacing w:line="276" w:lineRule="auto"/>
              <w:rPr>
                <w:rFonts w:eastAsia="Nunito" w:cs="Arial"/>
                <w:sz w:val="22"/>
                <w:szCs w:val="22"/>
              </w:rPr>
            </w:pPr>
            <w:r w:rsidRPr="000C5171">
              <w:rPr>
                <w:rFonts w:eastAsia="Nunito" w:cs="Arial"/>
                <w:sz w:val="22"/>
                <w:szCs w:val="22"/>
              </w:rPr>
              <w:t>10</w:t>
            </w:r>
          </w:p>
        </w:tc>
        <w:tc>
          <w:tcPr>
            <w:tcW w:w="1983"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hideMark/>
          </w:tcPr>
          <w:p w14:paraId="7D85068D" w14:textId="77777777" w:rsidR="00DE3C06" w:rsidRPr="000C5171" w:rsidRDefault="00DE3C06" w:rsidP="008A49D0">
            <w:pPr>
              <w:spacing w:line="276" w:lineRule="auto"/>
              <w:rPr>
                <w:rFonts w:eastAsia="Nunito" w:cs="Arial"/>
                <w:sz w:val="22"/>
                <w:szCs w:val="22"/>
              </w:rPr>
            </w:pPr>
            <w:r w:rsidRPr="000C5171">
              <w:rPr>
                <w:rFonts w:eastAsia="Nunito" w:cs="Arial"/>
                <w:sz w:val="22"/>
                <w:szCs w:val="22"/>
              </w:rPr>
              <w:t>Sistema de compromisos</w:t>
            </w:r>
          </w:p>
        </w:tc>
        <w:tc>
          <w:tcPr>
            <w:tcW w:w="5873"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hideMark/>
          </w:tcPr>
          <w:p w14:paraId="73594E13" w14:textId="77777777" w:rsidR="00DE3C06" w:rsidRPr="000C5171" w:rsidRDefault="00DE3C06" w:rsidP="008A49D0">
            <w:pPr>
              <w:spacing w:line="276" w:lineRule="auto"/>
              <w:jc w:val="both"/>
              <w:rPr>
                <w:rFonts w:eastAsia="Nunito" w:cs="Arial"/>
                <w:sz w:val="22"/>
                <w:szCs w:val="22"/>
              </w:rPr>
            </w:pPr>
            <w:r w:rsidRPr="000C5171">
              <w:rPr>
                <w:rFonts w:eastAsia="Nunito" w:cs="Arial"/>
                <w:sz w:val="22"/>
                <w:szCs w:val="22"/>
              </w:rPr>
              <w:t>Herramienta de información que registra, gestiona y da seguimiento a los compromisos adquiridos en el marco de los Programas de Acción para la Transformación Regional (PATR), facilitando la trazabilidad de acuerdos y el monitoreo de su cumplimiento.</w:t>
            </w:r>
          </w:p>
        </w:tc>
      </w:tr>
      <w:tr w:rsidR="00DE3C06" w:rsidRPr="000C5171" w14:paraId="5930FC2B" w14:textId="77777777" w:rsidTr="008A49D0">
        <w:trPr>
          <w:trHeight w:val="300"/>
        </w:trPr>
        <w:tc>
          <w:tcPr>
            <w:tcW w:w="724" w:type="dxa"/>
            <w:tcBorders>
              <w:top w:val="single" w:sz="4" w:space="0" w:color="auto"/>
              <w:left w:val="single" w:sz="4" w:space="0" w:color="auto"/>
              <w:bottom w:val="single" w:sz="4" w:space="0" w:color="auto"/>
              <w:right w:val="single" w:sz="4" w:space="0" w:color="auto"/>
            </w:tcBorders>
            <w:shd w:val="clear" w:color="auto" w:fill="C1F0C7" w:themeFill="accent3" w:themeFillTint="33"/>
            <w:tcMar>
              <w:top w:w="0" w:type="dxa"/>
              <w:left w:w="105" w:type="dxa"/>
              <w:bottom w:w="0" w:type="dxa"/>
              <w:right w:w="105" w:type="dxa"/>
            </w:tcMar>
            <w:hideMark/>
          </w:tcPr>
          <w:p w14:paraId="78F9D05E" w14:textId="77777777" w:rsidR="00DE3C06" w:rsidRPr="000C5171" w:rsidRDefault="00DE3C06" w:rsidP="008A49D0">
            <w:pPr>
              <w:spacing w:line="276" w:lineRule="auto"/>
              <w:rPr>
                <w:rFonts w:eastAsia="Nunito" w:cs="Arial"/>
                <w:sz w:val="22"/>
                <w:szCs w:val="22"/>
              </w:rPr>
            </w:pPr>
            <w:r w:rsidRPr="000C5171">
              <w:rPr>
                <w:rFonts w:eastAsia="Nunito" w:cs="Arial"/>
                <w:sz w:val="22"/>
                <w:szCs w:val="22"/>
              </w:rPr>
              <w:t>11</w:t>
            </w:r>
          </w:p>
        </w:tc>
        <w:tc>
          <w:tcPr>
            <w:tcW w:w="1983"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hideMark/>
          </w:tcPr>
          <w:p w14:paraId="22BB96D8" w14:textId="77777777" w:rsidR="00DE3C06" w:rsidRPr="000C5171" w:rsidRDefault="00DE3C06" w:rsidP="008A49D0">
            <w:pPr>
              <w:spacing w:line="276" w:lineRule="auto"/>
              <w:rPr>
                <w:rFonts w:eastAsia="Nunito" w:cs="Arial"/>
                <w:sz w:val="22"/>
                <w:szCs w:val="22"/>
              </w:rPr>
            </w:pPr>
            <w:r w:rsidRPr="000C5171">
              <w:rPr>
                <w:rFonts w:eastAsia="Nunito" w:cs="Arial"/>
                <w:sz w:val="22"/>
                <w:szCs w:val="22"/>
              </w:rPr>
              <w:t>Mesa de Servicios</w:t>
            </w:r>
          </w:p>
        </w:tc>
        <w:tc>
          <w:tcPr>
            <w:tcW w:w="5873"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hideMark/>
          </w:tcPr>
          <w:p w14:paraId="11969724" w14:textId="77777777" w:rsidR="00DE3C06" w:rsidRPr="000C5171" w:rsidRDefault="00DE3C06" w:rsidP="008A49D0">
            <w:pPr>
              <w:spacing w:line="276" w:lineRule="auto"/>
              <w:jc w:val="both"/>
              <w:rPr>
                <w:rFonts w:eastAsia="Nunito" w:cs="Arial"/>
                <w:sz w:val="22"/>
                <w:szCs w:val="22"/>
              </w:rPr>
            </w:pPr>
            <w:r w:rsidRPr="000C5171">
              <w:rPr>
                <w:rFonts w:eastAsia="Nunito" w:cs="Arial"/>
                <w:sz w:val="22"/>
                <w:szCs w:val="22"/>
              </w:rPr>
              <w:t>Sistema de información que administra la mesa de ayuda de la ART, permitiendo la recepción, gestión y resolución de solicitudes, incidentes y requerimientos de los usuarios internos, con el fin de garantizar soporte oportuno y eficiente en los servicios tecnológicos.</w:t>
            </w:r>
          </w:p>
        </w:tc>
      </w:tr>
    </w:tbl>
    <w:p w14:paraId="4746F163" w14:textId="77777777" w:rsidR="00DE3C06" w:rsidRPr="000C5171" w:rsidRDefault="00DE3C06" w:rsidP="00DE3C06">
      <w:pPr>
        <w:spacing w:line="276" w:lineRule="auto"/>
        <w:jc w:val="both"/>
        <w:rPr>
          <w:sz w:val="22"/>
          <w:szCs w:val="22"/>
        </w:rPr>
      </w:pPr>
      <w:r w:rsidRPr="000C5171">
        <w:rPr>
          <w:sz w:val="22"/>
          <w:szCs w:val="22"/>
        </w:rPr>
        <w:t xml:space="preserve">                                                                                                          Fuente ART (2026) </w:t>
      </w:r>
    </w:p>
    <w:p w14:paraId="07A72ECC" w14:textId="77777777" w:rsidR="00DE3C06" w:rsidRPr="000C5171" w:rsidRDefault="00DE3C06" w:rsidP="00DE3C06">
      <w:pPr>
        <w:spacing w:line="276" w:lineRule="auto"/>
        <w:jc w:val="both"/>
        <w:rPr>
          <w:sz w:val="22"/>
          <w:szCs w:val="22"/>
        </w:rPr>
      </w:pPr>
      <w:r w:rsidRPr="000C5171">
        <w:rPr>
          <w:sz w:val="22"/>
          <w:szCs w:val="22"/>
        </w:rPr>
        <w:t xml:space="preserve">Para ampliar información se incluye el </w:t>
      </w:r>
      <w:r w:rsidRPr="000C5171">
        <w:rPr>
          <w:rFonts w:eastAsia="Arial" w:cs="Tahoma"/>
          <w:b/>
          <w:bCs/>
          <w:sz w:val="22"/>
          <w:szCs w:val="22"/>
          <w:u w:val="single"/>
        </w:rPr>
        <w:t>ANEXO</w:t>
      </w:r>
      <w:r w:rsidRPr="000C5171">
        <w:rPr>
          <w:b/>
          <w:bCs/>
          <w:sz w:val="22"/>
          <w:szCs w:val="22"/>
          <w:u w:val="single"/>
        </w:rPr>
        <w:t xml:space="preserve"> </w:t>
      </w:r>
      <w:proofErr w:type="gramStart"/>
      <w:r>
        <w:rPr>
          <w:b/>
          <w:bCs/>
          <w:sz w:val="22"/>
          <w:szCs w:val="22"/>
          <w:u w:val="single"/>
        </w:rPr>
        <w:t>40</w:t>
      </w:r>
      <w:r w:rsidRPr="000C5171">
        <w:rPr>
          <w:sz w:val="22"/>
          <w:szCs w:val="22"/>
        </w:rPr>
        <w:t>.Sistemas</w:t>
      </w:r>
      <w:proofErr w:type="gramEnd"/>
      <w:r w:rsidRPr="000C5171">
        <w:rPr>
          <w:sz w:val="22"/>
          <w:szCs w:val="22"/>
        </w:rPr>
        <w:t xml:space="preserve"> de Información. </w:t>
      </w:r>
    </w:p>
    <w:p w14:paraId="33BAF4B1" w14:textId="77777777" w:rsidR="00DE3C06" w:rsidRPr="000C5171" w:rsidRDefault="00DE3C06" w:rsidP="00DE3C06">
      <w:pPr>
        <w:spacing w:line="276" w:lineRule="auto"/>
        <w:jc w:val="both"/>
        <w:rPr>
          <w:rFonts w:cs="Tahoma"/>
          <w:sz w:val="22"/>
          <w:szCs w:val="22"/>
        </w:rPr>
      </w:pPr>
      <w:r w:rsidRPr="000C5171">
        <w:rPr>
          <w:rFonts w:cs="Tahoma"/>
          <w:sz w:val="22"/>
          <w:szCs w:val="22"/>
        </w:rPr>
        <w:t>La Oficina de Tecnologías de la Información de la Agencia de Renovación del Territorio (ART) es la responsable de custodiar y administrar los once sistemas de información institucionales. Esta oficina se encarga de velar por el correcto funcionamiento de cada plataforma, la seguridad de los datos y el acceso adecuado por parte de los usuarios. Además, establece las reglas y condiciones para el uso y mantenimiento de estos sistemas, asegurando que respondan a las necesidades de las diferentes áreas de la entidad y contribuyan al cumplimiento de la misión institucional de la ART en los territorios priorizados.</w:t>
      </w:r>
    </w:p>
    <w:p w14:paraId="264A0710" w14:textId="77777777" w:rsidR="00DE3C06" w:rsidRPr="000C5171" w:rsidRDefault="00DE3C06" w:rsidP="00DE3C06">
      <w:pPr>
        <w:spacing w:line="276" w:lineRule="auto"/>
        <w:jc w:val="both"/>
        <w:rPr>
          <w:rFonts w:cs="Tahoma"/>
          <w:sz w:val="22"/>
          <w:szCs w:val="22"/>
        </w:rPr>
      </w:pPr>
      <w:r w:rsidRPr="000C5171">
        <w:rPr>
          <w:rFonts w:cs="Tahoma"/>
          <w:sz w:val="22"/>
          <w:szCs w:val="22"/>
        </w:rPr>
        <w:t xml:space="preserve">En el marco del fortalecimiento de la gobernanza tecnológica, la Oficina de Tecnologías de la Información viene adelantando un conjunto de actividades orientadas a mejorar la gestión y el conocimiento de los activos de información de la entidad. Entre estas se destacan la renovación tecnológica, la elaboración del mapa de información, el levantamiento de datos maestros, la actualización del catálogo de sistemas de información, la actualización del </w:t>
      </w:r>
      <w:r w:rsidRPr="000C5171">
        <w:rPr>
          <w:rFonts w:cs="Tahoma"/>
          <w:sz w:val="22"/>
          <w:szCs w:val="22"/>
        </w:rPr>
        <w:lastRenderedPageBreak/>
        <w:t>catálogo de componentes de información y la estructuración y actualización del Plan Estratégico de Tecnologías de la Información (PETI). Estas iniciativas buscan fortalecer la toma de decisiones basada en datos, mejorar la interoperabilidad entre sistemas y consolidar una gestión tecnológica más ordenada, eficiente y alineada con los objetivos misionales de la ART.</w:t>
      </w:r>
    </w:p>
    <w:p w14:paraId="00FDC5B6" w14:textId="77777777" w:rsidR="00DE3C06" w:rsidRPr="000C5171" w:rsidRDefault="00DE3C06" w:rsidP="00DE3C06">
      <w:pPr>
        <w:spacing w:line="276" w:lineRule="auto"/>
        <w:jc w:val="both"/>
        <w:rPr>
          <w:rFonts w:cs="Tahoma"/>
          <w:sz w:val="22"/>
          <w:szCs w:val="22"/>
        </w:rPr>
      </w:pPr>
      <w:r w:rsidRPr="000C5171">
        <w:rPr>
          <w:rFonts w:cs="Tahoma"/>
          <w:sz w:val="22"/>
          <w:szCs w:val="22"/>
        </w:rPr>
        <w:t>A continuación, se amplía la descripción de la administración y gestión del sistema de información PDET.</w:t>
      </w:r>
    </w:p>
    <w:p w14:paraId="229682E1" w14:textId="77777777" w:rsidR="00DE3C06" w:rsidRPr="000C5171" w:rsidRDefault="00DE3C06" w:rsidP="00DE3C06">
      <w:pPr>
        <w:pStyle w:val="Ttulo1"/>
        <w:spacing w:line="276" w:lineRule="auto"/>
        <w:rPr>
          <w:color w:val="0070C0"/>
        </w:rPr>
      </w:pPr>
      <w:bookmarkStart w:id="61" w:name="_Toc234168120"/>
      <w:r w:rsidRPr="000C5171">
        <w:rPr>
          <w:color w:val="0070C0"/>
        </w:rPr>
        <w:t>12.1 Sistema de Información PDET</w:t>
      </w:r>
      <w:bookmarkEnd w:id="61"/>
    </w:p>
    <w:p w14:paraId="0327A837" w14:textId="77777777" w:rsidR="00DE3C06" w:rsidRPr="000C5171" w:rsidRDefault="00DE3C06" w:rsidP="00DE3C06">
      <w:pPr>
        <w:spacing w:line="276" w:lineRule="auto"/>
        <w:jc w:val="both"/>
        <w:rPr>
          <w:rFonts w:eastAsia="Arial" w:cs="Tahoma"/>
          <w:sz w:val="22"/>
          <w:szCs w:val="22"/>
        </w:rPr>
      </w:pPr>
      <w:r w:rsidRPr="000C5171">
        <w:rPr>
          <w:rFonts w:eastAsia="Arial" w:cs="Tahoma"/>
          <w:sz w:val="22"/>
          <w:szCs w:val="22"/>
        </w:rPr>
        <w:t xml:space="preserve">El Sistema de Información PDET es un desarrollo </w:t>
      </w:r>
      <w:proofErr w:type="spellStart"/>
      <w:r w:rsidRPr="000C5171">
        <w:rPr>
          <w:rFonts w:eastAsia="Arial" w:cs="Tahoma"/>
          <w:i/>
          <w:iCs/>
          <w:sz w:val="22"/>
          <w:szCs w:val="22"/>
        </w:rPr>
        <w:t>in-house</w:t>
      </w:r>
      <w:proofErr w:type="spellEnd"/>
      <w:r w:rsidRPr="000C5171">
        <w:rPr>
          <w:rFonts w:eastAsia="Arial" w:cs="Tahoma"/>
          <w:sz w:val="22"/>
          <w:szCs w:val="22"/>
        </w:rPr>
        <w:t xml:space="preserve"> de la ART para la administración y gestión de la información misional, en cumplimiento de lo establecido en el Decreto Ley 893 de 2017.  Tiene 2 componentes completamente integrados entre sí: 1. el Sistema de Gestión de Oferta – SGO; y, 2. La Central de Información PDET, esta última operando como repositorio institucional y capa de análisis, la cual se soporta en un subproceso transversal de consolidación, validación y aseguramiento de la calidad de la información.</w:t>
      </w:r>
    </w:p>
    <w:p w14:paraId="236D06FC" w14:textId="77777777" w:rsidR="00DE3C06" w:rsidRPr="000C5171" w:rsidRDefault="00DE3C06" w:rsidP="00DE3C06">
      <w:pPr>
        <w:spacing w:after="0" w:line="276" w:lineRule="auto"/>
        <w:jc w:val="both"/>
        <w:rPr>
          <w:rFonts w:eastAsia="Arial" w:cs="Tahoma"/>
          <w:sz w:val="22"/>
          <w:szCs w:val="22"/>
        </w:rPr>
      </w:pPr>
    </w:p>
    <w:p w14:paraId="28B1A7D6" w14:textId="77777777" w:rsidR="00DE3C06" w:rsidRPr="000C5171" w:rsidRDefault="00DE3C06">
      <w:pPr>
        <w:pStyle w:val="Prrafodelista"/>
        <w:numPr>
          <w:ilvl w:val="2"/>
          <w:numId w:val="33"/>
        </w:numPr>
        <w:spacing w:after="0" w:line="276" w:lineRule="auto"/>
        <w:ind w:left="709"/>
        <w:jc w:val="both"/>
        <w:rPr>
          <w:rFonts w:eastAsia="Arial" w:cs="Tahoma"/>
          <w:color w:val="0070C0"/>
          <w:sz w:val="22"/>
          <w:szCs w:val="22"/>
        </w:rPr>
      </w:pPr>
      <w:r w:rsidRPr="000C5171">
        <w:rPr>
          <w:rFonts w:eastAsia="Arial" w:cs="Tahoma"/>
          <w:color w:val="0070C0"/>
          <w:sz w:val="22"/>
          <w:szCs w:val="22"/>
        </w:rPr>
        <w:t xml:space="preserve"> El Sistema de Gestión de Oferta - SGO: </w:t>
      </w:r>
    </w:p>
    <w:p w14:paraId="42808B01" w14:textId="77777777" w:rsidR="00DE3C06" w:rsidRPr="000C5171" w:rsidRDefault="00DE3C06" w:rsidP="00DE3C06">
      <w:pPr>
        <w:spacing w:after="0" w:line="276" w:lineRule="auto"/>
        <w:ind w:left="720"/>
        <w:jc w:val="both"/>
        <w:rPr>
          <w:rFonts w:eastAsia="Arial" w:cs="Tahoma"/>
          <w:sz w:val="22"/>
          <w:szCs w:val="22"/>
        </w:rPr>
      </w:pPr>
    </w:p>
    <w:p w14:paraId="586187C8" w14:textId="77777777" w:rsidR="00DE3C06" w:rsidRPr="000C5171" w:rsidRDefault="00DE3C06" w:rsidP="00DE3C06">
      <w:pPr>
        <w:spacing w:after="0" w:line="276" w:lineRule="auto"/>
        <w:jc w:val="both"/>
        <w:rPr>
          <w:rFonts w:eastAsia="Arial" w:cs="Tahoma"/>
          <w:sz w:val="22"/>
          <w:szCs w:val="22"/>
        </w:rPr>
      </w:pPr>
      <w:r w:rsidRPr="000C5171">
        <w:rPr>
          <w:rFonts w:eastAsia="Arial" w:cs="Tahoma"/>
          <w:sz w:val="22"/>
          <w:szCs w:val="22"/>
        </w:rPr>
        <w:t xml:space="preserve">El Sistema de Gestión de Oferta – SGO, es de uso interno, donde los usuarios de acuerdo con los roles establecidos realizan todas las actividades operacionales sobre la información. Se encuentra estructurado en 9 módulos que facilitan la función de seguimiento, control, verificación y certificación asignada a la entidad, en relación con la implementación de los PDET en los territorios priorizados. </w:t>
      </w:r>
    </w:p>
    <w:p w14:paraId="30A2E0B8" w14:textId="77777777" w:rsidR="00DE3C06" w:rsidRPr="000C5171" w:rsidRDefault="00DE3C06" w:rsidP="00DE3C06">
      <w:pPr>
        <w:spacing w:after="0" w:line="276" w:lineRule="auto"/>
        <w:jc w:val="both"/>
        <w:rPr>
          <w:rFonts w:eastAsia="Arial" w:cs="Tahoma"/>
          <w:sz w:val="22"/>
          <w:szCs w:val="22"/>
        </w:rPr>
      </w:pPr>
    </w:p>
    <w:p w14:paraId="7393BD3F" w14:textId="77777777" w:rsidR="00DE3C06" w:rsidRPr="000C5171" w:rsidRDefault="00DE3C06" w:rsidP="00DE3C06">
      <w:pPr>
        <w:spacing w:after="0" w:line="276" w:lineRule="auto"/>
        <w:jc w:val="both"/>
        <w:rPr>
          <w:rFonts w:eastAsia="Arial" w:cs="Tahoma"/>
          <w:sz w:val="22"/>
          <w:szCs w:val="22"/>
        </w:rPr>
      </w:pPr>
    </w:p>
    <w:p w14:paraId="05D001E4" w14:textId="77777777" w:rsidR="00DE3C06" w:rsidRPr="000C5171" w:rsidRDefault="00DE3C06" w:rsidP="00DE3C06">
      <w:pPr>
        <w:spacing w:after="200" w:line="276" w:lineRule="auto"/>
        <w:jc w:val="center"/>
        <w:rPr>
          <w:rFonts w:eastAsia="Arial" w:cs="Tahoma"/>
          <w:i/>
          <w:iCs/>
          <w:sz w:val="22"/>
          <w:szCs w:val="22"/>
        </w:rPr>
      </w:pPr>
      <w:r w:rsidRPr="000C5171">
        <w:rPr>
          <w:rFonts w:eastAsia="Arial" w:cs="Tahoma"/>
          <w:b/>
          <w:bCs/>
          <w:sz w:val="22"/>
          <w:szCs w:val="22"/>
        </w:rPr>
        <w:t>Gráfica 6. Interfaz portal del sistema de información de la Agencia de Renovación del Territorio.</w:t>
      </w:r>
    </w:p>
    <w:p w14:paraId="17E53FCD" w14:textId="77777777" w:rsidR="00DE3C06" w:rsidRPr="000C5171" w:rsidRDefault="00DE3C06" w:rsidP="00DE3C06">
      <w:pPr>
        <w:spacing w:after="0" w:line="276" w:lineRule="auto"/>
        <w:jc w:val="center"/>
        <w:rPr>
          <w:rFonts w:eastAsia="Arial" w:cs="Tahoma"/>
          <w:sz w:val="22"/>
          <w:szCs w:val="22"/>
        </w:rPr>
      </w:pPr>
      <w:r w:rsidRPr="000C5171">
        <w:rPr>
          <w:noProof/>
        </w:rPr>
        <w:lastRenderedPageBreak/>
        <w:drawing>
          <wp:inline distT="0" distB="0" distL="0" distR="0" wp14:anchorId="6892D518" wp14:editId="6405E2D7">
            <wp:extent cx="5608320" cy="2560320"/>
            <wp:effectExtent l="0" t="0" r="0" b="0"/>
            <wp:docPr id="6" name="Picture 5">
              <a:extLst xmlns:a="http://schemas.openxmlformats.org/drawingml/2006/main">
                <a:ext uri="{FF2B5EF4-FFF2-40B4-BE49-F238E27FC236}">
                  <a16:creationId xmlns:a16="http://schemas.microsoft.com/office/drawing/2014/main" id="{CABEA2B2-3E8B-2E71-7F28-9C89217A9FFC}"/>
                </a:ext>
              </a:extLst>
            </wp:docPr>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CABEA2B2-3E8B-2E71-7F28-9C89217A9FFC}"/>
                        </a:ext>
                      </a:extLst>
                    </pic:cNvPr>
                    <pic:cNvPicPr/>
                  </pic:nvPicPr>
                  <pic:blipFill rotWithShape="1">
                    <a:blip r:embed="rId25">
                      <a:extLst>
                        <a:ext uri="{BEBA8EAE-BF5A-486C-A8C5-ECC9F3942E4B}">
                          <a14:imgProps xmlns:a14="http://schemas.microsoft.com/office/drawing/2010/main">
                            <a14:imgLayer r:embed="rId26">
                              <a14:imgEffect>
                                <a14:sharpenSoften amount="50000"/>
                              </a14:imgEffect>
                              <a14:imgEffect>
                                <a14:saturation sat="400000"/>
                              </a14:imgEffect>
                            </a14:imgLayer>
                          </a14:imgProps>
                        </a:ext>
                      </a:extLst>
                    </a:blip>
                    <a:srcRect l="-114" t="10937" r="2109" b="22556"/>
                    <a:stretch/>
                  </pic:blipFill>
                  <pic:spPr bwMode="auto">
                    <a:xfrm>
                      <a:off x="0" y="0"/>
                      <a:ext cx="5608320" cy="2560320"/>
                    </a:xfrm>
                    <a:prstGeom prst="rect">
                      <a:avLst/>
                    </a:prstGeom>
                    <a:ln>
                      <a:noFill/>
                    </a:ln>
                    <a:extLst>
                      <a:ext uri="{53640926-AAD7-44D8-BBD7-CCE9431645EC}">
                        <a14:shadowObscured xmlns:a14="http://schemas.microsoft.com/office/drawing/2010/main"/>
                      </a:ext>
                    </a:extLst>
                  </pic:spPr>
                </pic:pic>
              </a:graphicData>
            </a:graphic>
          </wp:inline>
        </w:drawing>
      </w:r>
    </w:p>
    <w:p w14:paraId="50CD693F" w14:textId="77777777" w:rsidR="00DE3C06" w:rsidRPr="000C5171" w:rsidRDefault="00DE3C06" w:rsidP="00DE3C06">
      <w:pPr>
        <w:spacing w:after="0" w:line="276" w:lineRule="auto"/>
        <w:jc w:val="center"/>
        <w:rPr>
          <w:rFonts w:eastAsia="Arial" w:cs="Tahoma"/>
          <w:sz w:val="22"/>
          <w:szCs w:val="22"/>
        </w:rPr>
      </w:pPr>
      <w:r w:rsidRPr="000C5171">
        <w:rPr>
          <w:rFonts w:eastAsia="Arial" w:cs="Tahoma"/>
          <w:sz w:val="22"/>
          <w:szCs w:val="22"/>
        </w:rPr>
        <w:t>Fuente: Tomado de</w:t>
      </w:r>
      <w:r w:rsidRPr="000C5171">
        <w:rPr>
          <w:rFonts w:eastAsia="Arial Narrow" w:cs="Tahoma"/>
          <w:sz w:val="22"/>
          <w:szCs w:val="22"/>
        </w:rPr>
        <w:t xml:space="preserve"> </w:t>
      </w:r>
      <w:hyperlink r:id="rId27" w:history="1">
        <w:r w:rsidRPr="000C5171">
          <w:rPr>
            <w:rStyle w:val="Hipervnculo"/>
            <w:rFonts w:eastAsia="Arial" w:cs="Tahoma"/>
            <w:color w:val="auto"/>
            <w:sz w:val="22"/>
            <w:szCs w:val="22"/>
          </w:rPr>
          <w:t>https://portalart.renovacionterritorio.gov.co/</w:t>
        </w:r>
      </w:hyperlink>
    </w:p>
    <w:p w14:paraId="734B848E" w14:textId="77777777" w:rsidR="00DE3C06" w:rsidRPr="000C5171" w:rsidRDefault="00DE3C06" w:rsidP="00DE3C06">
      <w:pPr>
        <w:spacing w:after="0" w:line="276" w:lineRule="auto"/>
        <w:jc w:val="both"/>
        <w:rPr>
          <w:rFonts w:eastAsia="Arial" w:cs="Tahoma"/>
          <w:sz w:val="22"/>
          <w:szCs w:val="22"/>
        </w:rPr>
      </w:pPr>
      <w:r w:rsidRPr="000C5171">
        <w:rPr>
          <w:rFonts w:eastAsia="Arial" w:cs="Tahoma"/>
          <w:sz w:val="22"/>
          <w:szCs w:val="22"/>
        </w:rPr>
        <w:t xml:space="preserve">Como cualquier otro sistema de información tiene el siguiente ciclo básico: </w:t>
      </w:r>
    </w:p>
    <w:p w14:paraId="3329204A" w14:textId="77777777" w:rsidR="00DE3C06" w:rsidRPr="000C5171" w:rsidRDefault="00DE3C06" w:rsidP="00DE3C06">
      <w:pPr>
        <w:spacing w:after="0" w:line="276" w:lineRule="auto"/>
        <w:jc w:val="both"/>
        <w:rPr>
          <w:rFonts w:eastAsia="Arial" w:cs="Tahoma"/>
          <w:sz w:val="22"/>
          <w:szCs w:val="22"/>
        </w:rPr>
      </w:pPr>
    </w:p>
    <w:p w14:paraId="4BC89584" w14:textId="77777777" w:rsidR="00DE3C06" w:rsidRPr="000C5171" w:rsidRDefault="00DE3C06" w:rsidP="00DE3C06">
      <w:pPr>
        <w:spacing w:after="200" w:line="276" w:lineRule="auto"/>
        <w:jc w:val="center"/>
        <w:rPr>
          <w:rFonts w:eastAsia="Arial" w:cs="Tahoma"/>
          <w:i/>
          <w:iCs/>
          <w:sz w:val="22"/>
          <w:szCs w:val="22"/>
        </w:rPr>
      </w:pPr>
      <w:r w:rsidRPr="000C5171">
        <w:rPr>
          <w:rFonts w:eastAsia="Arial" w:cs="Tahoma"/>
          <w:b/>
          <w:bCs/>
          <w:sz w:val="22"/>
          <w:szCs w:val="22"/>
        </w:rPr>
        <w:t>Gráfica 7. Esquema ciclo sistema de información portal ART.</w:t>
      </w:r>
    </w:p>
    <w:p w14:paraId="691CD29A" w14:textId="77777777" w:rsidR="00DE3C06" w:rsidRPr="000C5171" w:rsidRDefault="00DE3C06" w:rsidP="00DE3C06">
      <w:pPr>
        <w:spacing w:after="0" w:line="276" w:lineRule="auto"/>
        <w:jc w:val="center"/>
        <w:rPr>
          <w:rFonts w:eastAsia="Arial" w:cs="Tahoma"/>
          <w:sz w:val="22"/>
          <w:szCs w:val="22"/>
        </w:rPr>
      </w:pPr>
      <w:r w:rsidRPr="000C5171">
        <w:rPr>
          <w:noProof/>
        </w:rPr>
        <w:drawing>
          <wp:inline distT="0" distB="0" distL="0" distR="0" wp14:anchorId="50DC4C3D" wp14:editId="2E659CD9">
            <wp:extent cx="5429250" cy="2331720"/>
            <wp:effectExtent l="0" t="0" r="0" b="0"/>
            <wp:docPr id="1894197927" name="Imagen 2"/>
            <wp:cNvGraphicFramePr/>
            <a:graphic xmlns:a="http://schemas.openxmlformats.org/drawingml/2006/main">
              <a:graphicData uri="http://schemas.openxmlformats.org/drawingml/2006/picture">
                <pic:pic xmlns:pic="http://schemas.openxmlformats.org/drawingml/2006/picture">
                  <pic:nvPicPr>
                    <pic:cNvPr id="1894197927" name="Imagen 2"/>
                    <pic:cNvPicPr/>
                  </pic:nvPicPr>
                  <pic:blipFill rotWithShape="1">
                    <a:blip r:embed="rId28" cstate="print">
                      <a:extLst>
                        <a:ext uri="{28A0092B-C50C-407E-A947-70E740481C1C}">
                          <a14:useLocalDpi xmlns:a14="http://schemas.microsoft.com/office/drawing/2010/main" val="0"/>
                        </a:ext>
                      </a:extLst>
                    </a:blip>
                    <a:srcRect b="13096"/>
                    <a:stretch/>
                  </pic:blipFill>
                  <pic:spPr bwMode="auto">
                    <a:xfrm>
                      <a:off x="0" y="0"/>
                      <a:ext cx="5429250" cy="2331720"/>
                    </a:xfrm>
                    <a:prstGeom prst="rect">
                      <a:avLst/>
                    </a:prstGeom>
                    <a:noFill/>
                    <a:ln>
                      <a:noFill/>
                    </a:ln>
                    <a:extLst>
                      <a:ext uri="{53640926-AAD7-44D8-BBD7-CCE9431645EC}">
                        <a14:shadowObscured xmlns:a14="http://schemas.microsoft.com/office/drawing/2010/main"/>
                      </a:ext>
                    </a:extLst>
                  </pic:spPr>
                </pic:pic>
              </a:graphicData>
            </a:graphic>
          </wp:inline>
        </w:drawing>
      </w:r>
    </w:p>
    <w:p w14:paraId="11C83C22" w14:textId="77777777" w:rsidR="00DE3C06" w:rsidRPr="000C5171" w:rsidRDefault="00DE3C06" w:rsidP="00DE3C06">
      <w:pPr>
        <w:spacing w:after="0" w:line="276" w:lineRule="auto"/>
        <w:jc w:val="center"/>
        <w:rPr>
          <w:rFonts w:eastAsia="Arial" w:cs="Tahoma"/>
          <w:sz w:val="22"/>
          <w:szCs w:val="22"/>
        </w:rPr>
      </w:pPr>
      <w:r w:rsidRPr="000C5171">
        <w:rPr>
          <w:rFonts w:eastAsia="Arial" w:cs="Tahoma"/>
          <w:sz w:val="22"/>
          <w:szCs w:val="22"/>
        </w:rPr>
        <w:t>Fuente: Elaboración propia.</w:t>
      </w:r>
    </w:p>
    <w:p w14:paraId="49B7A431" w14:textId="77777777" w:rsidR="00DE3C06" w:rsidRPr="000C5171" w:rsidRDefault="00DE3C06" w:rsidP="00DE3C06">
      <w:pPr>
        <w:spacing w:after="0" w:line="276" w:lineRule="auto"/>
        <w:jc w:val="both"/>
        <w:rPr>
          <w:rFonts w:eastAsia="Arial" w:cs="Tahoma"/>
          <w:sz w:val="22"/>
          <w:szCs w:val="22"/>
        </w:rPr>
      </w:pPr>
    </w:p>
    <w:p w14:paraId="2522BC5A" w14:textId="77777777" w:rsidR="00DE3C06" w:rsidRPr="000C5171" w:rsidRDefault="00DE3C06" w:rsidP="00DE3C06">
      <w:pPr>
        <w:spacing w:after="0" w:line="276" w:lineRule="auto"/>
        <w:jc w:val="both"/>
        <w:rPr>
          <w:rFonts w:eastAsia="Arial" w:cs="Tahoma"/>
          <w:sz w:val="22"/>
          <w:szCs w:val="22"/>
        </w:rPr>
      </w:pPr>
      <w:r w:rsidRPr="000C5171">
        <w:rPr>
          <w:rFonts w:eastAsia="Arial" w:cs="Tahoma"/>
          <w:sz w:val="22"/>
          <w:szCs w:val="22"/>
        </w:rPr>
        <w:t>Si bien, el sistema de información misional PDET existe en la ART desde 2020, durante el periodo actual se han adelantado mejoras que han respondido a las necesidades de la organización y han asegurado su buen funcionamiento. Se pueden destacar las siguientes:</w:t>
      </w:r>
    </w:p>
    <w:p w14:paraId="40A08649" w14:textId="77777777" w:rsidR="00DE3C06" w:rsidRPr="000C5171" w:rsidRDefault="00DE3C06" w:rsidP="00DE3C06">
      <w:pPr>
        <w:spacing w:line="276" w:lineRule="auto"/>
        <w:rPr>
          <w:rFonts w:eastAsia="Arial" w:cs="Tahoma"/>
          <w:sz w:val="22"/>
          <w:szCs w:val="22"/>
        </w:rPr>
      </w:pPr>
    </w:p>
    <w:p w14:paraId="694C8432" w14:textId="77777777" w:rsidR="00DE3C06" w:rsidRPr="000C5171" w:rsidRDefault="00DE3C06" w:rsidP="00DE3C06">
      <w:pPr>
        <w:spacing w:line="276" w:lineRule="auto"/>
        <w:rPr>
          <w:rFonts w:eastAsia="Arial" w:cs="Tahoma"/>
          <w:sz w:val="22"/>
          <w:szCs w:val="22"/>
        </w:rPr>
      </w:pPr>
      <w:r w:rsidRPr="000C5171">
        <w:rPr>
          <w:rFonts w:eastAsia="Arial" w:cs="Tahoma"/>
          <w:b/>
          <w:bCs/>
          <w:sz w:val="22"/>
          <w:szCs w:val="22"/>
        </w:rPr>
        <w:t>Desarrollos y evolutivos</w:t>
      </w:r>
    </w:p>
    <w:p w14:paraId="37785EA9" w14:textId="77777777" w:rsidR="00DE3C06" w:rsidRPr="000C5171" w:rsidRDefault="00DE3C06">
      <w:pPr>
        <w:pStyle w:val="Prrafodelista"/>
        <w:numPr>
          <w:ilvl w:val="0"/>
          <w:numId w:val="5"/>
        </w:numPr>
        <w:spacing w:line="276" w:lineRule="auto"/>
        <w:jc w:val="both"/>
        <w:rPr>
          <w:rFonts w:eastAsia="Arial" w:cs="Tahoma"/>
          <w:sz w:val="22"/>
          <w:szCs w:val="22"/>
        </w:rPr>
      </w:pPr>
      <w:r w:rsidRPr="000C5171">
        <w:rPr>
          <w:rFonts w:eastAsia="Arial" w:cs="Tahoma"/>
          <w:sz w:val="22"/>
          <w:szCs w:val="22"/>
        </w:rPr>
        <w:lastRenderedPageBreak/>
        <w:t>Se realizaron los desarrollos y las pruebas para la salida a producción de los servicios de interoperabilidad con el Ministerio de Vivienda a través de X-Road.</w:t>
      </w:r>
    </w:p>
    <w:p w14:paraId="1FD453D6" w14:textId="77777777" w:rsidR="00DE3C06" w:rsidRPr="000C5171" w:rsidRDefault="00DE3C06">
      <w:pPr>
        <w:pStyle w:val="Prrafodelista"/>
        <w:numPr>
          <w:ilvl w:val="0"/>
          <w:numId w:val="5"/>
        </w:numPr>
        <w:spacing w:line="276" w:lineRule="auto"/>
        <w:jc w:val="both"/>
        <w:rPr>
          <w:rFonts w:eastAsia="Arial" w:cs="Tahoma"/>
          <w:sz w:val="22"/>
          <w:szCs w:val="22"/>
        </w:rPr>
      </w:pPr>
      <w:r w:rsidRPr="000C5171">
        <w:rPr>
          <w:rFonts w:eastAsia="Arial" w:cs="Tahoma"/>
          <w:sz w:val="22"/>
          <w:szCs w:val="22"/>
        </w:rPr>
        <w:t>Migración a la nueva estructura y parametrización de los costos para los proyectos.</w:t>
      </w:r>
    </w:p>
    <w:p w14:paraId="2FA0F56F" w14:textId="77777777" w:rsidR="00DE3C06" w:rsidRPr="000C5171" w:rsidRDefault="00DE3C06">
      <w:pPr>
        <w:pStyle w:val="Prrafodelista"/>
        <w:numPr>
          <w:ilvl w:val="0"/>
          <w:numId w:val="5"/>
        </w:numPr>
        <w:spacing w:line="276" w:lineRule="auto"/>
        <w:jc w:val="both"/>
        <w:rPr>
          <w:rFonts w:eastAsia="Arial" w:cs="Tahoma"/>
          <w:sz w:val="22"/>
          <w:szCs w:val="22"/>
        </w:rPr>
      </w:pPr>
      <w:r w:rsidRPr="000C5171">
        <w:rPr>
          <w:rFonts w:eastAsia="Arial" w:cs="Tahoma"/>
          <w:sz w:val="22"/>
          <w:szCs w:val="22"/>
        </w:rPr>
        <w:t>Desarrollo del proceso de generación y expedición de los anexos de alcance para las iniciativas priorizadas para los certificados de concordancia.</w:t>
      </w:r>
    </w:p>
    <w:p w14:paraId="4CF4821C" w14:textId="77777777" w:rsidR="00DE3C06" w:rsidRPr="000C5171" w:rsidRDefault="00DE3C06">
      <w:pPr>
        <w:pStyle w:val="Prrafodelista"/>
        <w:numPr>
          <w:ilvl w:val="0"/>
          <w:numId w:val="5"/>
        </w:numPr>
        <w:spacing w:line="276" w:lineRule="auto"/>
        <w:jc w:val="both"/>
        <w:rPr>
          <w:rFonts w:eastAsia="Arial" w:cs="Tahoma"/>
          <w:sz w:val="22"/>
          <w:szCs w:val="22"/>
        </w:rPr>
      </w:pPr>
      <w:r w:rsidRPr="000C5171">
        <w:rPr>
          <w:rFonts w:eastAsia="Arial" w:cs="Tahoma"/>
          <w:sz w:val="22"/>
          <w:szCs w:val="22"/>
        </w:rPr>
        <w:t>Conexión del sistema Gestión de Oferta al directorio activo de la ART.</w:t>
      </w:r>
    </w:p>
    <w:p w14:paraId="5B303D65" w14:textId="77777777" w:rsidR="00DE3C06" w:rsidRPr="000C5171" w:rsidRDefault="00DE3C06">
      <w:pPr>
        <w:pStyle w:val="Prrafodelista"/>
        <w:numPr>
          <w:ilvl w:val="0"/>
          <w:numId w:val="5"/>
        </w:numPr>
        <w:spacing w:line="276" w:lineRule="auto"/>
        <w:jc w:val="both"/>
        <w:rPr>
          <w:rFonts w:eastAsia="Arial" w:cs="Tahoma"/>
          <w:sz w:val="22"/>
          <w:szCs w:val="22"/>
        </w:rPr>
      </w:pPr>
      <w:r w:rsidRPr="000C5171">
        <w:rPr>
          <w:rFonts w:eastAsia="Arial" w:cs="Tahoma"/>
          <w:sz w:val="22"/>
          <w:szCs w:val="22"/>
        </w:rPr>
        <w:t>Optimización de los tiempos de respuesta de la bandeja de consulta de los proyectos de carga directa e interoperabilidad.</w:t>
      </w:r>
    </w:p>
    <w:p w14:paraId="64B021A2" w14:textId="77777777" w:rsidR="00DE3C06" w:rsidRPr="000C5171" w:rsidRDefault="00DE3C06">
      <w:pPr>
        <w:pStyle w:val="Prrafodelista"/>
        <w:numPr>
          <w:ilvl w:val="0"/>
          <w:numId w:val="5"/>
        </w:numPr>
        <w:spacing w:line="276" w:lineRule="auto"/>
        <w:jc w:val="both"/>
        <w:rPr>
          <w:rFonts w:eastAsia="Arial" w:cs="Tahoma"/>
          <w:sz w:val="22"/>
          <w:szCs w:val="22"/>
        </w:rPr>
      </w:pPr>
      <w:r w:rsidRPr="000C5171">
        <w:rPr>
          <w:rFonts w:eastAsia="Arial" w:cs="Tahoma"/>
          <w:sz w:val="22"/>
          <w:szCs w:val="22"/>
        </w:rPr>
        <w:t>Ajuste en la parametrización de los roles de usuario con las direcciones y subdirecciones de la ART.</w:t>
      </w:r>
    </w:p>
    <w:p w14:paraId="54072ACD" w14:textId="77777777" w:rsidR="00DE3C06" w:rsidRPr="000C5171" w:rsidRDefault="00DE3C06">
      <w:pPr>
        <w:pStyle w:val="Prrafodelista"/>
        <w:numPr>
          <w:ilvl w:val="0"/>
          <w:numId w:val="5"/>
        </w:numPr>
        <w:spacing w:line="276" w:lineRule="auto"/>
        <w:jc w:val="both"/>
        <w:rPr>
          <w:rFonts w:eastAsia="Arial" w:cs="Tahoma"/>
          <w:sz w:val="22"/>
          <w:szCs w:val="22"/>
        </w:rPr>
      </w:pPr>
      <w:r w:rsidRPr="000C5171">
        <w:rPr>
          <w:rFonts w:eastAsia="Arial" w:cs="Tahoma"/>
          <w:sz w:val="22"/>
          <w:szCs w:val="22"/>
        </w:rPr>
        <w:t>Desarrollo del portal de usuarios étnicos integrados con el DNP.</w:t>
      </w:r>
    </w:p>
    <w:p w14:paraId="3201EA57" w14:textId="77777777" w:rsidR="00DE3C06" w:rsidRPr="000C5171" w:rsidRDefault="00DE3C06">
      <w:pPr>
        <w:pStyle w:val="Prrafodelista"/>
        <w:numPr>
          <w:ilvl w:val="0"/>
          <w:numId w:val="5"/>
        </w:numPr>
        <w:spacing w:line="276" w:lineRule="auto"/>
        <w:jc w:val="both"/>
        <w:rPr>
          <w:rFonts w:eastAsia="Arial" w:cs="Tahoma"/>
          <w:sz w:val="22"/>
          <w:szCs w:val="22"/>
        </w:rPr>
      </w:pPr>
      <w:r w:rsidRPr="000C5171">
        <w:rPr>
          <w:rFonts w:eastAsia="Arial" w:cs="Tahoma"/>
          <w:sz w:val="22"/>
          <w:szCs w:val="22"/>
        </w:rPr>
        <w:t>Desarrollo del proceso de subsanación para la certificación de concordancia.</w:t>
      </w:r>
    </w:p>
    <w:p w14:paraId="0E87ECB7" w14:textId="77777777" w:rsidR="00DE3C06" w:rsidRPr="000C5171" w:rsidRDefault="00DE3C06">
      <w:pPr>
        <w:pStyle w:val="Prrafodelista"/>
        <w:numPr>
          <w:ilvl w:val="0"/>
          <w:numId w:val="5"/>
        </w:numPr>
        <w:spacing w:line="276" w:lineRule="auto"/>
        <w:jc w:val="both"/>
        <w:rPr>
          <w:rFonts w:eastAsia="Arial" w:cs="Tahoma"/>
          <w:sz w:val="22"/>
          <w:szCs w:val="22"/>
        </w:rPr>
      </w:pPr>
      <w:r w:rsidRPr="000C5171">
        <w:rPr>
          <w:rFonts w:eastAsia="Arial" w:cs="Tahoma"/>
          <w:sz w:val="22"/>
          <w:szCs w:val="22"/>
        </w:rPr>
        <w:t>Desarrollo e integración del visor de inversiones, desde Central de Información PDET con el SGO.</w:t>
      </w:r>
    </w:p>
    <w:p w14:paraId="0F90EB8B" w14:textId="77777777" w:rsidR="00DE3C06" w:rsidRPr="000C5171" w:rsidRDefault="00DE3C06" w:rsidP="00DE3C06">
      <w:pPr>
        <w:spacing w:line="276" w:lineRule="auto"/>
        <w:ind w:firstLine="360"/>
        <w:rPr>
          <w:rFonts w:eastAsia="Arial" w:cs="Tahoma"/>
          <w:b/>
          <w:bCs/>
          <w:sz w:val="22"/>
          <w:szCs w:val="22"/>
        </w:rPr>
      </w:pPr>
    </w:p>
    <w:p w14:paraId="45A8FCC7" w14:textId="77777777" w:rsidR="00DE3C06" w:rsidRPr="000C5171" w:rsidRDefault="00DE3C06" w:rsidP="00DE3C06">
      <w:pPr>
        <w:spacing w:line="276" w:lineRule="auto"/>
        <w:jc w:val="both"/>
        <w:rPr>
          <w:rFonts w:eastAsia="Arial" w:cs="Tahoma"/>
          <w:sz w:val="22"/>
          <w:szCs w:val="22"/>
        </w:rPr>
      </w:pPr>
      <w:r w:rsidRPr="000C5171">
        <w:rPr>
          <w:rFonts w:eastAsia="Arial" w:cs="Tahoma"/>
          <w:b/>
          <w:bCs/>
          <w:sz w:val="22"/>
          <w:szCs w:val="22"/>
        </w:rPr>
        <w:t>Optimización de recursos</w:t>
      </w:r>
    </w:p>
    <w:p w14:paraId="7EF62A7E" w14:textId="77777777" w:rsidR="00DE3C06" w:rsidRPr="000C5171" w:rsidRDefault="00DE3C06">
      <w:pPr>
        <w:pStyle w:val="Prrafodelista"/>
        <w:numPr>
          <w:ilvl w:val="0"/>
          <w:numId w:val="6"/>
        </w:numPr>
        <w:spacing w:line="276" w:lineRule="auto"/>
        <w:jc w:val="both"/>
        <w:rPr>
          <w:rFonts w:eastAsia="Arial" w:cs="Tahoma"/>
          <w:sz w:val="22"/>
          <w:szCs w:val="22"/>
        </w:rPr>
      </w:pPr>
      <w:r w:rsidRPr="000C5171">
        <w:rPr>
          <w:rFonts w:eastAsia="Arial" w:cs="Tahoma"/>
          <w:sz w:val="22"/>
          <w:szCs w:val="22"/>
        </w:rPr>
        <w:t>Separar los ambientes de pruebas y capacitación para el sistema de Gestión de Oferta.</w:t>
      </w:r>
    </w:p>
    <w:p w14:paraId="44C91990" w14:textId="77777777" w:rsidR="00DE3C06" w:rsidRPr="000C5171" w:rsidRDefault="00DE3C06">
      <w:pPr>
        <w:pStyle w:val="Prrafodelista"/>
        <w:numPr>
          <w:ilvl w:val="0"/>
          <w:numId w:val="6"/>
        </w:numPr>
        <w:spacing w:line="276" w:lineRule="auto"/>
        <w:jc w:val="both"/>
        <w:rPr>
          <w:rFonts w:eastAsia="Arial" w:cs="Tahoma"/>
          <w:sz w:val="22"/>
          <w:szCs w:val="22"/>
        </w:rPr>
      </w:pPr>
      <w:r w:rsidRPr="000C5171">
        <w:rPr>
          <w:rFonts w:eastAsia="Arial" w:cs="Tahoma"/>
          <w:sz w:val="22"/>
          <w:szCs w:val="22"/>
        </w:rPr>
        <w:t>Creación y configuración de los ambientes de desarrollo, pruebas y capacitación para el portal OCAD PAZ y obras por impuestos</w:t>
      </w:r>
    </w:p>
    <w:p w14:paraId="71E67177" w14:textId="77777777" w:rsidR="00DE3C06" w:rsidRPr="000C5171" w:rsidRDefault="00DE3C06">
      <w:pPr>
        <w:pStyle w:val="Prrafodelista"/>
        <w:numPr>
          <w:ilvl w:val="0"/>
          <w:numId w:val="6"/>
        </w:numPr>
        <w:spacing w:line="276" w:lineRule="auto"/>
        <w:jc w:val="both"/>
        <w:rPr>
          <w:rFonts w:eastAsia="Arial" w:cs="Tahoma"/>
          <w:sz w:val="22"/>
          <w:szCs w:val="22"/>
        </w:rPr>
      </w:pPr>
      <w:r w:rsidRPr="000C5171">
        <w:rPr>
          <w:rFonts w:eastAsia="Arial" w:cs="Tahoma"/>
          <w:sz w:val="22"/>
          <w:szCs w:val="22"/>
        </w:rPr>
        <w:t>Actualización y estandarización de las bases de datos del Sistema Gestión de Oferta de los diferentes ambientes (desarrollo, pruebas y capacitación).</w:t>
      </w:r>
    </w:p>
    <w:p w14:paraId="309BDF5D" w14:textId="77777777" w:rsidR="00DE3C06" w:rsidRPr="000C5171" w:rsidRDefault="00DE3C06">
      <w:pPr>
        <w:pStyle w:val="Prrafodelista"/>
        <w:numPr>
          <w:ilvl w:val="0"/>
          <w:numId w:val="6"/>
        </w:numPr>
        <w:spacing w:line="276" w:lineRule="auto"/>
        <w:jc w:val="both"/>
        <w:rPr>
          <w:rFonts w:eastAsia="Arial" w:cs="Tahoma"/>
          <w:sz w:val="22"/>
          <w:szCs w:val="22"/>
        </w:rPr>
      </w:pPr>
      <w:r w:rsidRPr="000C5171">
        <w:rPr>
          <w:rFonts w:eastAsia="Arial" w:cs="Tahoma"/>
          <w:sz w:val="22"/>
          <w:szCs w:val="22"/>
        </w:rPr>
        <w:t xml:space="preserve">Configuración de los ambientes de desarrollo y pruebas en la infraestructura </w:t>
      </w:r>
      <w:proofErr w:type="spellStart"/>
      <w:r w:rsidRPr="000C5171">
        <w:rPr>
          <w:rFonts w:eastAsia="Arial" w:cs="Tahoma"/>
          <w:sz w:val="22"/>
          <w:szCs w:val="22"/>
        </w:rPr>
        <w:t>OnPremise</w:t>
      </w:r>
      <w:proofErr w:type="spellEnd"/>
      <w:r w:rsidRPr="000C5171">
        <w:rPr>
          <w:rFonts w:eastAsia="Arial" w:cs="Tahoma"/>
          <w:sz w:val="22"/>
          <w:szCs w:val="22"/>
        </w:rPr>
        <w:t xml:space="preserve"> (de la nube a local).</w:t>
      </w:r>
    </w:p>
    <w:p w14:paraId="66D4B372" w14:textId="77777777" w:rsidR="00DE3C06" w:rsidRPr="000C5171" w:rsidRDefault="00DE3C06" w:rsidP="00DE3C06">
      <w:pPr>
        <w:spacing w:line="276" w:lineRule="auto"/>
        <w:jc w:val="both"/>
        <w:rPr>
          <w:rFonts w:eastAsia="Arial" w:cs="Tahoma"/>
          <w:sz w:val="22"/>
          <w:szCs w:val="22"/>
        </w:rPr>
      </w:pPr>
    </w:p>
    <w:p w14:paraId="08F51341" w14:textId="77777777" w:rsidR="00DE3C06" w:rsidRPr="000C5171" w:rsidRDefault="00DE3C06" w:rsidP="00DE3C06">
      <w:pPr>
        <w:spacing w:line="276" w:lineRule="auto"/>
        <w:ind w:firstLine="360"/>
        <w:jc w:val="both"/>
        <w:rPr>
          <w:rFonts w:eastAsia="Arial" w:cs="Tahoma"/>
          <w:sz w:val="22"/>
          <w:szCs w:val="22"/>
        </w:rPr>
      </w:pPr>
      <w:r w:rsidRPr="000C5171">
        <w:rPr>
          <w:rFonts w:eastAsia="Arial" w:cs="Tahoma"/>
          <w:b/>
          <w:bCs/>
          <w:sz w:val="22"/>
          <w:szCs w:val="22"/>
        </w:rPr>
        <w:t>Proceso y documentación de equipo</w:t>
      </w:r>
    </w:p>
    <w:p w14:paraId="3CF05B3D" w14:textId="77777777" w:rsidR="00DE3C06" w:rsidRPr="000C5171" w:rsidRDefault="00DE3C06">
      <w:pPr>
        <w:pStyle w:val="Prrafodelista"/>
        <w:numPr>
          <w:ilvl w:val="0"/>
          <w:numId w:val="6"/>
        </w:numPr>
        <w:spacing w:line="276" w:lineRule="auto"/>
        <w:jc w:val="both"/>
        <w:rPr>
          <w:rFonts w:eastAsia="Arial" w:cs="Tahoma"/>
          <w:sz w:val="22"/>
          <w:szCs w:val="22"/>
        </w:rPr>
      </w:pPr>
      <w:r w:rsidRPr="000C5171">
        <w:rPr>
          <w:rFonts w:eastAsia="Arial" w:cs="Tahoma"/>
          <w:sz w:val="22"/>
          <w:szCs w:val="22"/>
        </w:rPr>
        <w:t>Creación del Acuerdo de Nivel de Servicio de la SGI.</w:t>
      </w:r>
    </w:p>
    <w:p w14:paraId="6BE8F698" w14:textId="77777777" w:rsidR="00DE3C06" w:rsidRPr="000C5171" w:rsidRDefault="00DE3C06">
      <w:pPr>
        <w:pStyle w:val="Prrafodelista"/>
        <w:numPr>
          <w:ilvl w:val="0"/>
          <w:numId w:val="6"/>
        </w:numPr>
        <w:spacing w:line="276" w:lineRule="auto"/>
        <w:jc w:val="both"/>
        <w:rPr>
          <w:rFonts w:eastAsia="Arial" w:cs="Tahoma"/>
          <w:sz w:val="22"/>
          <w:szCs w:val="22"/>
        </w:rPr>
      </w:pPr>
      <w:r w:rsidRPr="000C5171">
        <w:rPr>
          <w:rFonts w:eastAsia="Arial" w:cs="Tahoma"/>
          <w:sz w:val="22"/>
          <w:szCs w:val="22"/>
        </w:rPr>
        <w:t>Implementación del marco de trabajo SCRUM para el equipo de desarrollo.</w:t>
      </w:r>
    </w:p>
    <w:p w14:paraId="63491157" w14:textId="77777777" w:rsidR="00DE3C06" w:rsidRPr="000C5171" w:rsidRDefault="00DE3C06">
      <w:pPr>
        <w:pStyle w:val="Prrafodelista"/>
        <w:numPr>
          <w:ilvl w:val="0"/>
          <w:numId w:val="6"/>
        </w:numPr>
        <w:spacing w:line="276" w:lineRule="auto"/>
        <w:jc w:val="both"/>
        <w:rPr>
          <w:rFonts w:eastAsia="Arial" w:cs="Tahoma"/>
          <w:sz w:val="22"/>
          <w:szCs w:val="22"/>
        </w:rPr>
      </w:pPr>
      <w:r w:rsidRPr="000C5171">
        <w:rPr>
          <w:rFonts w:eastAsia="Arial" w:cs="Tahoma"/>
          <w:sz w:val="22"/>
          <w:szCs w:val="22"/>
        </w:rPr>
        <w:t>Integración, recepción y seguimiento de los casos únicamente, a través de la aplicación de la Mesa de Servicios, provista por la OTI.</w:t>
      </w:r>
    </w:p>
    <w:p w14:paraId="052B14A5" w14:textId="77777777" w:rsidR="00DE3C06" w:rsidRPr="000C5171" w:rsidRDefault="00DE3C06">
      <w:pPr>
        <w:pStyle w:val="Prrafodelista"/>
        <w:numPr>
          <w:ilvl w:val="0"/>
          <w:numId w:val="6"/>
        </w:numPr>
        <w:spacing w:line="276" w:lineRule="auto"/>
        <w:jc w:val="both"/>
        <w:rPr>
          <w:rFonts w:eastAsia="Arial" w:cs="Tahoma"/>
          <w:sz w:val="22"/>
          <w:szCs w:val="22"/>
        </w:rPr>
      </w:pPr>
      <w:r w:rsidRPr="000C5171">
        <w:rPr>
          <w:rFonts w:eastAsia="Arial" w:cs="Tahoma"/>
          <w:sz w:val="22"/>
          <w:szCs w:val="22"/>
        </w:rPr>
        <w:t>Creación de procedimientos internos de atención del equipo de desarrollo y soporte.</w:t>
      </w:r>
    </w:p>
    <w:p w14:paraId="60C3AFD8" w14:textId="77777777" w:rsidR="00DE3C06" w:rsidRPr="000C5171" w:rsidRDefault="00DE3C06">
      <w:pPr>
        <w:pStyle w:val="Prrafodelista"/>
        <w:numPr>
          <w:ilvl w:val="0"/>
          <w:numId w:val="6"/>
        </w:numPr>
        <w:spacing w:line="276" w:lineRule="auto"/>
        <w:jc w:val="both"/>
        <w:rPr>
          <w:rFonts w:eastAsia="Arial" w:cs="Tahoma"/>
          <w:sz w:val="22"/>
          <w:szCs w:val="22"/>
        </w:rPr>
      </w:pPr>
      <w:r w:rsidRPr="000C5171">
        <w:rPr>
          <w:rFonts w:eastAsia="Arial" w:cs="Tahoma"/>
          <w:sz w:val="22"/>
          <w:szCs w:val="22"/>
        </w:rPr>
        <w:t>Estandarización y unificación de formatos entre la SGI y la OTI evitando redundancia</w:t>
      </w:r>
    </w:p>
    <w:p w14:paraId="4E3DCA42" w14:textId="77777777" w:rsidR="00DE3C06" w:rsidRPr="000C5171" w:rsidRDefault="00DE3C06">
      <w:pPr>
        <w:pStyle w:val="Prrafodelista"/>
        <w:numPr>
          <w:ilvl w:val="0"/>
          <w:numId w:val="6"/>
        </w:numPr>
        <w:spacing w:line="276" w:lineRule="auto"/>
        <w:jc w:val="both"/>
        <w:rPr>
          <w:rFonts w:eastAsia="Arial" w:cs="Tahoma"/>
          <w:sz w:val="22"/>
          <w:szCs w:val="22"/>
        </w:rPr>
      </w:pPr>
      <w:r w:rsidRPr="000C5171">
        <w:rPr>
          <w:rFonts w:eastAsia="Arial" w:cs="Tahoma"/>
          <w:sz w:val="22"/>
          <w:szCs w:val="22"/>
        </w:rPr>
        <w:t>Implementación de los RFC para la salida a producción de los desarrollos del SGO.</w:t>
      </w:r>
    </w:p>
    <w:p w14:paraId="3385292F" w14:textId="77777777" w:rsidR="00DE3C06" w:rsidRPr="000C5171" w:rsidRDefault="00DE3C06" w:rsidP="00DE3C06">
      <w:pPr>
        <w:spacing w:after="0" w:line="276" w:lineRule="auto"/>
        <w:rPr>
          <w:rFonts w:eastAsia="Arial" w:cs="Tahoma"/>
          <w:sz w:val="22"/>
          <w:szCs w:val="22"/>
        </w:rPr>
      </w:pPr>
    </w:p>
    <w:p w14:paraId="1689B66F" w14:textId="77777777" w:rsidR="00DE3C06" w:rsidRDefault="00DE3C06" w:rsidP="00DE3C06">
      <w:pPr>
        <w:spacing w:after="0" w:line="276" w:lineRule="auto"/>
        <w:rPr>
          <w:rFonts w:eastAsia="Arial" w:cs="Tahoma"/>
          <w:sz w:val="22"/>
          <w:szCs w:val="22"/>
        </w:rPr>
      </w:pPr>
    </w:p>
    <w:p w14:paraId="3C28894E" w14:textId="77777777" w:rsidR="00DE3C06" w:rsidRDefault="00DE3C06" w:rsidP="00DE3C06">
      <w:pPr>
        <w:spacing w:after="0" w:line="276" w:lineRule="auto"/>
        <w:rPr>
          <w:rFonts w:eastAsia="Arial" w:cs="Tahoma"/>
          <w:sz w:val="22"/>
          <w:szCs w:val="22"/>
        </w:rPr>
      </w:pPr>
    </w:p>
    <w:p w14:paraId="7A284C06" w14:textId="77777777" w:rsidR="00DE3C06" w:rsidRDefault="00DE3C06" w:rsidP="00DE3C06">
      <w:pPr>
        <w:spacing w:after="0" w:line="276" w:lineRule="auto"/>
        <w:rPr>
          <w:rFonts w:eastAsia="Arial" w:cs="Tahoma"/>
          <w:sz w:val="22"/>
          <w:szCs w:val="22"/>
        </w:rPr>
      </w:pPr>
    </w:p>
    <w:p w14:paraId="76F98873" w14:textId="77777777" w:rsidR="00DE3C06" w:rsidRDefault="00DE3C06" w:rsidP="00DE3C06">
      <w:pPr>
        <w:spacing w:after="0" w:line="276" w:lineRule="auto"/>
        <w:rPr>
          <w:rFonts w:eastAsia="Arial" w:cs="Tahoma"/>
          <w:sz w:val="22"/>
          <w:szCs w:val="22"/>
        </w:rPr>
      </w:pPr>
    </w:p>
    <w:p w14:paraId="5DF490CC" w14:textId="77777777" w:rsidR="00DE3C06" w:rsidRPr="000C5171" w:rsidRDefault="00DE3C06">
      <w:pPr>
        <w:pStyle w:val="Prrafodelista"/>
        <w:numPr>
          <w:ilvl w:val="2"/>
          <w:numId w:val="33"/>
        </w:numPr>
        <w:spacing w:after="0" w:line="276" w:lineRule="auto"/>
        <w:ind w:left="0" w:firstLine="0"/>
        <w:jc w:val="both"/>
        <w:rPr>
          <w:rFonts w:eastAsia="Arial" w:cs="Tahoma"/>
          <w:color w:val="0070C0"/>
          <w:sz w:val="22"/>
          <w:szCs w:val="22"/>
        </w:rPr>
      </w:pPr>
      <w:r w:rsidRPr="000C5171">
        <w:rPr>
          <w:rFonts w:eastAsia="Arial" w:cs="Tahoma"/>
          <w:color w:val="0070C0"/>
          <w:sz w:val="22"/>
          <w:szCs w:val="22"/>
        </w:rPr>
        <w:t xml:space="preserve">  Central de Información PDET </w:t>
      </w:r>
    </w:p>
    <w:p w14:paraId="0A63C70B" w14:textId="77777777" w:rsidR="00DE3C06" w:rsidRPr="000C5171" w:rsidRDefault="00DE3C06" w:rsidP="00DE3C06">
      <w:pPr>
        <w:spacing w:after="0" w:line="276" w:lineRule="auto"/>
        <w:jc w:val="both"/>
        <w:rPr>
          <w:rFonts w:eastAsia="Arial" w:cs="Tahoma"/>
          <w:sz w:val="22"/>
          <w:szCs w:val="22"/>
        </w:rPr>
      </w:pPr>
    </w:p>
    <w:p w14:paraId="30D797CF" w14:textId="77777777" w:rsidR="00DE3C06" w:rsidRPr="000C5171" w:rsidRDefault="00DE3C06" w:rsidP="00DE3C06">
      <w:pPr>
        <w:spacing w:after="0" w:line="276" w:lineRule="auto"/>
        <w:jc w:val="both"/>
        <w:rPr>
          <w:rFonts w:eastAsia="Arial" w:cs="Tahoma"/>
          <w:sz w:val="22"/>
          <w:szCs w:val="22"/>
        </w:rPr>
      </w:pPr>
      <w:r w:rsidRPr="000C5171">
        <w:rPr>
          <w:rFonts w:eastAsia="Arial" w:cs="Tahoma"/>
          <w:sz w:val="22"/>
          <w:szCs w:val="22"/>
        </w:rPr>
        <w:t xml:space="preserve">La Central PDET, es el otro componente del sistema de Información misional PDET, el cual es abierto al público y facilita la consulta a los avances de la implementación PDET a través de tableros, informes, gráficos, estadísticas y demás instrumentos. </w:t>
      </w:r>
    </w:p>
    <w:p w14:paraId="59E7BD7C" w14:textId="77777777" w:rsidR="00DE3C06" w:rsidRPr="000C5171" w:rsidRDefault="00DE3C06" w:rsidP="00DE3C06">
      <w:pPr>
        <w:spacing w:after="0" w:line="276" w:lineRule="auto"/>
        <w:jc w:val="both"/>
        <w:rPr>
          <w:rFonts w:eastAsia="Arial" w:cs="Tahoma"/>
          <w:sz w:val="22"/>
          <w:szCs w:val="22"/>
        </w:rPr>
      </w:pPr>
    </w:p>
    <w:p w14:paraId="2A5D1D5B" w14:textId="77777777" w:rsidR="00DE3C06" w:rsidRPr="000C5171" w:rsidRDefault="00DE3C06" w:rsidP="00DE3C06">
      <w:pPr>
        <w:spacing w:after="200" w:line="276" w:lineRule="auto"/>
        <w:jc w:val="center"/>
        <w:rPr>
          <w:rFonts w:eastAsia="Arial" w:cs="Tahoma"/>
          <w:i/>
          <w:iCs/>
          <w:sz w:val="22"/>
          <w:szCs w:val="22"/>
        </w:rPr>
      </w:pPr>
      <w:r w:rsidRPr="000C5171">
        <w:rPr>
          <w:rFonts w:eastAsia="Arial" w:cs="Tahoma"/>
          <w:b/>
          <w:bCs/>
          <w:sz w:val="22"/>
          <w:szCs w:val="22"/>
        </w:rPr>
        <w:t>Gráfica 8. Página central de información PDET.</w:t>
      </w:r>
    </w:p>
    <w:p w14:paraId="513C07B2" w14:textId="77777777" w:rsidR="00DE3C06" w:rsidRPr="000C5171" w:rsidRDefault="00DE3C06" w:rsidP="00DE3C06">
      <w:pPr>
        <w:spacing w:after="0" w:line="276" w:lineRule="auto"/>
        <w:jc w:val="center"/>
        <w:rPr>
          <w:rFonts w:eastAsia="Arial" w:cs="Tahoma"/>
          <w:sz w:val="22"/>
          <w:szCs w:val="22"/>
        </w:rPr>
      </w:pPr>
      <w:r w:rsidRPr="000C5171">
        <w:rPr>
          <w:noProof/>
        </w:rPr>
        <w:drawing>
          <wp:inline distT="0" distB="0" distL="0" distR="0" wp14:anchorId="0B3EFEC3" wp14:editId="0AC02EB9">
            <wp:extent cx="5612130" cy="3156585"/>
            <wp:effectExtent l="0" t="0" r="7620" b="5715"/>
            <wp:docPr id="1198814174" name="Imagen 4"/>
            <wp:cNvGraphicFramePr/>
            <a:graphic xmlns:a="http://schemas.openxmlformats.org/drawingml/2006/main">
              <a:graphicData uri="http://schemas.openxmlformats.org/drawingml/2006/picture">
                <pic:pic xmlns:pic="http://schemas.openxmlformats.org/drawingml/2006/picture">
                  <pic:nvPicPr>
                    <pic:cNvPr id="1198814174" name="Imagen 4"/>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12130" cy="3156585"/>
                    </a:xfrm>
                    <a:prstGeom prst="rect">
                      <a:avLst/>
                    </a:prstGeom>
                    <a:noFill/>
                    <a:ln>
                      <a:noFill/>
                    </a:ln>
                  </pic:spPr>
                </pic:pic>
              </a:graphicData>
            </a:graphic>
          </wp:inline>
        </w:drawing>
      </w:r>
    </w:p>
    <w:p w14:paraId="07001720" w14:textId="77777777" w:rsidR="00DE3C06" w:rsidRPr="000C5171" w:rsidRDefault="00DE3C06" w:rsidP="00DE3C06">
      <w:pPr>
        <w:spacing w:after="0" w:line="276" w:lineRule="auto"/>
        <w:jc w:val="center"/>
        <w:rPr>
          <w:rFonts w:eastAsia="Arial" w:cs="Tahoma"/>
          <w:sz w:val="22"/>
          <w:szCs w:val="22"/>
        </w:rPr>
      </w:pPr>
      <w:r w:rsidRPr="000C5171">
        <w:rPr>
          <w:rFonts w:eastAsia="Arial Narrow" w:cs="Tahoma"/>
          <w:sz w:val="22"/>
          <w:szCs w:val="22"/>
        </w:rPr>
        <w:t xml:space="preserve">Fuente: tomado de </w:t>
      </w:r>
      <w:hyperlink r:id="rId30" w:history="1">
        <w:r w:rsidRPr="000C5171">
          <w:rPr>
            <w:rStyle w:val="Hipervnculo"/>
            <w:rFonts w:eastAsia="Arial" w:cs="Tahoma"/>
            <w:color w:val="auto"/>
            <w:sz w:val="22"/>
            <w:szCs w:val="22"/>
          </w:rPr>
          <w:t>https://centralpdet.renovacionterritorio.gov.co/</w:t>
        </w:r>
      </w:hyperlink>
    </w:p>
    <w:p w14:paraId="2983E9D6" w14:textId="77777777" w:rsidR="00DE3C06" w:rsidRPr="000C5171" w:rsidRDefault="00DE3C06" w:rsidP="00DE3C06">
      <w:pPr>
        <w:spacing w:after="0" w:line="276" w:lineRule="auto"/>
        <w:jc w:val="both"/>
        <w:rPr>
          <w:rFonts w:eastAsia="Arial" w:cs="Tahoma"/>
          <w:sz w:val="22"/>
          <w:szCs w:val="22"/>
        </w:rPr>
      </w:pPr>
    </w:p>
    <w:p w14:paraId="44AE8DF5" w14:textId="77777777" w:rsidR="00DE3C06" w:rsidRPr="000C5171" w:rsidRDefault="00DE3C06" w:rsidP="00DE3C06">
      <w:pPr>
        <w:spacing w:after="0" w:line="276" w:lineRule="auto"/>
        <w:jc w:val="both"/>
        <w:rPr>
          <w:rFonts w:eastAsia="Arial" w:cs="Tahoma"/>
          <w:sz w:val="22"/>
          <w:szCs w:val="22"/>
        </w:rPr>
      </w:pPr>
      <w:r w:rsidRPr="000C5171">
        <w:rPr>
          <w:rFonts w:eastAsia="Arial" w:cs="Tahoma"/>
          <w:sz w:val="22"/>
          <w:szCs w:val="22"/>
        </w:rPr>
        <w:t>Durante este periodo se hicieron mejoras importantes en la Central PDET que se destacan a continuación:</w:t>
      </w:r>
    </w:p>
    <w:p w14:paraId="7788DA53" w14:textId="77777777" w:rsidR="00DE3C06" w:rsidRPr="000C5171" w:rsidRDefault="00DE3C06" w:rsidP="00DE3C06">
      <w:pPr>
        <w:spacing w:after="0" w:line="276" w:lineRule="auto"/>
        <w:rPr>
          <w:rFonts w:eastAsia="Arial" w:cs="Tahoma"/>
          <w:sz w:val="22"/>
          <w:szCs w:val="22"/>
        </w:rPr>
      </w:pPr>
    </w:p>
    <w:p w14:paraId="582C98B0" w14:textId="77777777" w:rsidR="00DE3C06" w:rsidRPr="000C5171" w:rsidRDefault="00DE3C06">
      <w:pPr>
        <w:pStyle w:val="Prrafodelista"/>
        <w:numPr>
          <w:ilvl w:val="0"/>
          <w:numId w:val="7"/>
        </w:numPr>
        <w:spacing w:after="0" w:line="276" w:lineRule="auto"/>
        <w:jc w:val="both"/>
        <w:rPr>
          <w:rFonts w:eastAsia="Arial" w:cs="Tahoma"/>
          <w:sz w:val="22"/>
          <w:szCs w:val="22"/>
        </w:rPr>
      </w:pPr>
      <w:r w:rsidRPr="000C5171">
        <w:rPr>
          <w:rFonts w:eastAsia="Arial" w:cs="Tahoma"/>
          <w:sz w:val="22"/>
          <w:szCs w:val="22"/>
        </w:rPr>
        <w:t xml:space="preserve">Actualización del tablero de iniciativas, incluyendo nueva información, realizando más desagregaciones y permitiendo la descarga de reportes. </w:t>
      </w:r>
    </w:p>
    <w:p w14:paraId="41EA7F90" w14:textId="77777777" w:rsidR="00DE3C06" w:rsidRPr="000C5171" w:rsidRDefault="00DE3C06">
      <w:pPr>
        <w:pStyle w:val="Prrafodelista"/>
        <w:numPr>
          <w:ilvl w:val="0"/>
          <w:numId w:val="7"/>
        </w:numPr>
        <w:spacing w:after="0" w:line="276" w:lineRule="auto"/>
        <w:jc w:val="both"/>
        <w:rPr>
          <w:rFonts w:eastAsia="Arial" w:cs="Tahoma"/>
          <w:sz w:val="22"/>
          <w:szCs w:val="22"/>
        </w:rPr>
      </w:pPr>
      <w:r w:rsidRPr="000C5171">
        <w:rPr>
          <w:rFonts w:eastAsia="Arial" w:cs="Tahoma"/>
          <w:sz w:val="22"/>
          <w:szCs w:val="22"/>
        </w:rPr>
        <w:t>El visor de indicadores PATR amplió el número de mediciones, pasando de 95 a 214, lo que permite captar de mejor manera los cambios que han experimentado los territorios PDET. Asimismo, esta ampliación permite contar con mayores mediciones y una mayor desagregación territorial, étnica, campesina y de género, con el fin de realizar un seguimiento más efectivo al impacto de la implementación de los acuerdos.</w:t>
      </w:r>
    </w:p>
    <w:p w14:paraId="5C2C992B" w14:textId="77777777" w:rsidR="00DE3C06" w:rsidRPr="000C5171" w:rsidRDefault="00DE3C06">
      <w:pPr>
        <w:pStyle w:val="Prrafodelista"/>
        <w:numPr>
          <w:ilvl w:val="0"/>
          <w:numId w:val="7"/>
        </w:numPr>
        <w:spacing w:after="0" w:line="276" w:lineRule="auto"/>
        <w:jc w:val="both"/>
        <w:rPr>
          <w:rFonts w:eastAsia="Arial" w:cs="Tahoma"/>
          <w:sz w:val="22"/>
          <w:szCs w:val="22"/>
        </w:rPr>
      </w:pPr>
      <w:r w:rsidRPr="000C5171">
        <w:rPr>
          <w:rFonts w:eastAsia="Arial" w:cs="Tahoma"/>
          <w:sz w:val="22"/>
          <w:szCs w:val="22"/>
        </w:rPr>
        <w:lastRenderedPageBreak/>
        <w:t xml:space="preserve">En el visor de inversiones PDET se incluyó un filtro que permite diferenciar entre las inversiones que contribuyen a la implementación de las iniciativas PATR y aquellas que, sin estar asociadas directamente a su implementación, aportan al desarrollo de los territorios PDET. </w:t>
      </w:r>
    </w:p>
    <w:p w14:paraId="35FCE901" w14:textId="77777777" w:rsidR="00DE3C06" w:rsidRPr="000C5171" w:rsidRDefault="00DE3C06">
      <w:pPr>
        <w:pStyle w:val="Prrafodelista"/>
        <w:numPr>
          <w:ilvl w:val="0"/>
          <w:numId w:val="7"/>
        </w:numPr>
        <w:spacing w:after="0" w:line="276" w:lineRule="auto"/>
        <w:jc w:val="both"/>
        <w:rPr>
          <w:rFonts w:eastAsia="Arial" w:cs="Tahoma"/>
          <w:sz w:val="22"/>
          <w:szCs w:val="22"/>
        </w:rPr>
      </w:pPr>
      <w:r w:rsidRPr="000C5171">
        <w:rPr>
          <w:rFonts w:eastAsia="Arial" w:cs="Tahoma"/>
          <w:sz w:val="22"/>
          <w:szCs w:val="22"/>
        </w:rPr>
        <w:t>Asimismo, el valor de las inversiones se empezó a reportar en precios constantes de 2016, con la finalidad de mitigar el efecto del cambio en los precios. Esta presentación también permite comparar las inversiones con el marco de referencia del coste de los PDET que se realizó en el CONPES 3932 de 2018.</w:t>
      </w:r>
    </w:p>
    <w:p w14:paraId="428391CC" w14:textId="77777777" w:rsidR="00DE3C06" w:rsidRPr="000C5171" w:rsidRDefault="00DE3C06" w:rsidP="00DE3C06">
      <w:pPr>
        <w:spacing w:after="0" w:line="276" w:lineRule="auto"/>
        <w:ind w:left="720"/>
        <w:jc w:val="both"/>
        <w:rPr>
          <w:rFonts w:eastAsia="Arial" w:cs="Tahoma"/>
          <w:sz w:val="22"/>
          <w:szCs w:val="22"/>
        </w:rPr>
      </w:pPr>
    </w:p>
    <w:p w14:paraId="4C7D0F0F" w14:textId="77777777" w:rsidR="00DE3C06" w:rsidRPr="000C5171" w:rsidRDefault="00DE3C06" w:rsidP="00DE3C06">
      <w:pPr>
        <w:spacing w:after="0" w:line="276" w:lineRule="auto"/>
        <w:ind w:left="720"/>
        <w:jc w:val="both"/>
        <w:rPr>
          <w:rFonts w:eastAsia="Arial" w:cs="Tahoma"/>
          <w:sz w:val="22"/>
          <w:szCs w:val="22"/>
        </w:rPr>
      </w:pPr>
      <w:r w:rsidRPr="000C5171">
        <w:rPr>
          <w:rFonts w:eastAsia="Arial" w:cs="Tahoma"/>
          <w:sz w:val="22"/>
          <w:szCs w:val="22"/>
        </w:rPr>
        <w:t>Durante el período de gobierno, además de las publicaciones recurrentes, se elaboraron y difundieron documentos contribuyen a la generación de conocimiento a partir de la implementación de los PDET. entre otros, se destacan los siguientes:</w:t>
      </w:r>
    </w:p>
    <w:p w14:paraId="74B78504" w14:textId="77777777" w:rsidR="00DE3C06" w:rsidRPr="000C5171" w:rsidRDefault="00DE3C06" w:rsidP="00DE3C06">
      <w:pPr>
        <w:spacing w:after="0" w:line="276" w:lineRule="auto"/>
        <w:ind w:left="720"/>
        <w:jc w:val="both"/>
        <w:rPr>
          <w:rFonts w:eastAsia="Arial" w:cs="Tahoma"/>
          <w:sz w:val="22"/>
          <w:szCs w:val="22"/>
        </w:rPr>
      </w:pPr>
    </w:p>
    <w:p w14:paraId="3F76F11A" w14:textId="77777777" w:rsidR="00DE3C06" w:rsidRPr="000C5171" w:rsidRDefault="00DE3C06">
      <w:pPr>
        <w:pStyle w:val="Prrafodelista"/>
        <w:numPr>
          <w:ilvl w:val="0"/>
          <w:numId w:val="8"/>
        </w:numPr>
        <w:spacing w:after="0" w:line="276" w:lineRule="auto"/>
        <w:ind w:left="993" w:hanging="284"/>
        <w:jc w:val="both"/>
        <w:rPr>
          <w:rFonts w:eastAsia="Arial" w:cs="Tahoma"/>
          <w:sz w:val="22"/>
          <w:szCs w:val="22"/>
        </w:rPr>
      </w:pPr>
      <w:r w:rsidRPr="000C5171">
        <w:rPr>
          <w:rFonts w:eastAsia="Arial" w:cs="Tahoma"/>
          <w:sz w:val="22"/>
          <w:szCs w:val="22"/>
        </w:rPr>
        <w:t>Análisis del Derecho Humano a la Alimentación en los territorios PDET.</w:t>
      </w:r>
    </w:p>
    <w:p w14:paraId="510C35A8" w14:textId="77777777" w:rsidR="00DE3C06" w:rsidRPr="000C5171" w:rsidRDefault="00DE3C06">
      <w:pPr>
        <w:pStyle w:val="Prrafodelista"/>
        <w:numPr>
          <w:ilvl w:val="0"/>
          <w:numId w:val="8"/>
        </w:numPr>
        <w:spacing w:after="0" w:line="276" w:lineRule="auto"/>
        <w:ind w:left="993" w:hanging="284"/>
        <w:jc w:val="both"/>
        <w:rPr>
          <w:rFonts w:eastAsia="Arial" w:cs="Tahoma"/>
          <w:sz w:val="22"/>
          <w:szCs w:val="22"/>
        </w:rPr>
      </w:pPr>
      <w:r w:rsidRPr="000C5171">
        <w:rPr>
          <w:rFonts w:eastAsia="Arial" w:cs="Tahoma"/>
          <w:sz w:val="22"/>
          <w:szCs w:val="22"/>
        </w:rPr>
        <w:t>Economía del cuidado en los PDET.</w:t>
      </w:r>
    </w:p>
    <w:p w14:paraId="5C73453F" w14:textId="77777777" w:rsidR="00DE3C06" w:rsidRPr="000C5171" w:rsidRDefault="00DE3C06">
      <w:pPr>
        <w:pStyle w:val="Prrafodelista"/>
        <w:numPr>
          <w:ilvl w:val="0"/>
          <w:numId w:val="8"/>
        </w:numPr>
        <w:spacing w:after="0" w:line="276" w:lineRule="auto"/>
        <w:ind w:left="993" w:hanging="284"/>
        <w:jc w:val="both"/>
        <w:rPr>
          <w:rFonts w:eastAsia="Arial" w:cs="Tahoma"/>
          <w:sz w:val="22"/>
          <w:szCs w:val="22"/>
        </w:rPr>
      </w:pPr>
      <w:r w:rsidRPr="000C5171">
        <w:rPr>
          <w:rFonts w:eastAsia="Arial" w:cs="Tahoma"/>
          <w:sz w:val="22"/>
          <w:szCs w:val="22"/>
        </w:rPr>
        <w:t>Resumen ejecutivo del análisis de la batería de indicadores de la evaluación de impacto de la “línea base”.</w:t>
      </w:r>
    </w:p>
    <w:p w14:paraId="4D346C36" w14:textId="77777777" w:rsidR="00DE3C06" w:rsidRPr="000C5171" w:rsidRDefault="00DE3C06" w:rsidP="00DE3C06">
      <w:pPr>
        <w:spacing w:after="0" w:line="276" w:lineRule="auto"/>
        <w:ind w:left="720"/>
        <w:jc w:val="both"/>
        <w:rPr>
          <w:rFonts w:eastAsia="Arial" w:cs="Tahoma"/>
          <w:sz w:val="22"/>
          <w:szCs w:val="22"/>
        </w:rPr>
      </w:pPr>
    </w:p>
    <w:p w14:paraId="6F2823CA" w14:textId="77777777" w:rsidR="00DE3C06" w:rsidRPr="000C5171" w:rsidRDefault="00DE3C06">
      <w:pPr>
        <w:pStyle w:val="Prrafodelista"/>
        <w:numPr>
          <w:ilvl w:val="0"/>
          <w:numId w:val="7"/>
        </w:numPr>
        <w:spacing w:after="0" w:line="276" w:lineRule="auto"/>
        <w:jc w:val="both"/>
        <w:rPr>
          <w:rFonts w:eastAsia="Arial" w:cs="Tahoma"/>
          <w:sz w:val="22"/>
          <w:szCs w:val="22"/>
        </w:rPr>
      </w:pPr>
      <w:r w:rsidRPr="000C5171">
        <w:rPr>
          <w:rFonts w:eastAsia="Arial" w:cs="Tahoma"/>
          <w:sz w:val="22"/>
          <w:szCs w:val="22"/>
        </w:rPr>
        <w:t>Se publicaron los resultados del levantamiento de información realizado para el seguimiento y la evaluación de la línea base PDET. Este ejercicio tiene como objetivo principal evaluar el impacto de los PDET a través de un conjunto de indicadores derivados de la Línea Base ART 2018 y 2022, los cuales reflejan el progreso por pilares y de manera transversal.</w:t>
      </w:r>
    </w:p>
    <w:p w14:paraId="71F1E3DB" w14:textId="77777777" w:rsidR="00DE3C06" w:rsidRPr="000C5171" w:rsidRDefault="00DE3C06" w:rsidP="00DE3C06">
      <w:pPr>
        <w:spacing w:after="0" w:line="276" w:lineRule="auto"/>
        <w:ind w:left="720"/>
        <w:rPr>
          <w:rFonts w:eastAsia="Arial" w:cs="Tahoma"/>
          <w:sz w:val="22"/>
          <w:szCs w:val="22"/>
        </w:rPr>
      </w:pPr>
    </w:p>
    <w:p w14:paraId="67BF42EA" w14:textId="77777777" w:rsidR="00DE3C06" w:rsidRPr="000C5171" w:rsidRDefault="00DE3C06">
      <w:pPr>
        <w:pStyle w:val="Prrafodelista"/>
        <w:numPr>
          <w:ilvl w:val="1"/>
          <w:numId w:val="33"/>
        </w:numPr>
        <w:spacing w:after="0" w:line="276" w:lineRule="auto"/>
        <w:ind w:left="709"/>
        <w:rPr>
          <w:rFonts w:eastAsia="Arial" w:cs="Tahoma"/>
          <w:color w:val="0070C0"/>
          <w:sz w:val="22"/>
          <w:szCs w:val="22"/>
        </w:rPr>
      </w:pPr>
      <w:r w:rsidRPr="000C5171">
        <w:rPr>
          <w:rFonts w:eastAsia="Arial" w:cs="Tahoma"/>
          <w:color w:val="0070C0"/>
          <w:sz w:val="22"/>
          <w:szCs w:val="22"/>
        </w:rPr>
        <w:t xml:space="preserve"> Consolidación y calidad de la información</w:t>
      </w:r>
    </w:p>
    <w:p w14:paraId="2F76FCAD" w14:textId="77777777" w:rsidR="00DE3C06" w:rsidRPr="000C5171" w:rsidRDefault="00DE3C06" w:rsidP="00DE3C06">
      <w:pPr>
        <w:spacing w:after="0" w:line="276" w:lineRule="auto"/>
        <w:ind w:left="720"/>
        <w:rPr>
          <w:rFonts w:eastAsia="Arial" w:cs="Tahoma"/>
          <w:sz w:val="22"/>
          <w:szCs w:val="22"/>
        </w:rPr>
      </w:pPr>
    </w:p>
    <w:p w14:paraId="02C84162" w14:textId="77777777" w:rsidR="00DE3C06" w:rsidRPr="000C5171" w:rsidRDefault="00DE3C06" w:rsidP="00DE3C06">
      <w:pPr>
        <w:spacing w:line="276" w:lineRule="auto"/>
        <w:jc w:val="both"/>
        <w:rPr>
          <w:rFonts w:eastAsia="Arial" w:cs="Tahoma"/>
          <w:sz w:val="22"/>
          <w:szCs w:val="22"/>
        </w:rPr>
      </w:pPr>
      <w:r w:rsidRPr="000C5171">
        <w:rPr>
          <w:rFonts w:eastAsia="Arial" w:cs="Tahoma"/>
          <w:sz w:val="22"/>
          <w:szCs w:val="22"/>
        </w:rPr>
        <w:t>En lo que respecta al componente de datos, se puede mencionar que durante el cuatrienio se consolidaron avances determinantes en el fortalecimiento y organización del modelo de datos misional de la Agencia de Renovación del Territorio, elevando su coherencia, precisión y estructura. Se desarrollaron procesos constantes de depuración, estandarización y validación que permitieron corregir inconsistencias históricas y mejorar considerablemente la calidad de la información institucional. Como resultado, se lograron reducciones significativas en los tiempos de procesamiento de datos para los reportes RIA y DIARI, lo que impactó de manera directa la oportunidad y confiabilidad de la información utilizada en la planeación territorial y en los ejercicios de seguimiento estratégicos.</w:t>
      </w:r>
    </w:p>
    <w:p w14:paraId="5780F97C" w14:textId="77777777" w:rsidR="00DE3C06" w:rsidRPr="000C5171" w:rsidRDefault="00DE3C06" w:rsidP="00DE3C06">
      <w:pPr>
        <w:spacing w:line="276" w:lineRule="auto"/>
        <w:jc w:val="both"/>
        <w:rPr>
          <w:rFonts w:eastAsia="Arial" w:cs="Tahoma"/>
          <w:sz w:val="22"/>
          <w:szCs w:val="22"/>
        </w:rPr>
      </w:pPr>
      <w:r w:rsidRPr="000C5171">
        <w:rPr>
          <w:rFonts w:eastAsia="Arial" w:cs="Tahoma"/>
          <w:sz w:val="22"/>
          <w:szCs w:val="22"/>
        </w:rPr>
        <w:t xml:space="preserve">De igual forma, se obtuvieron logros importantes en el acompañamiento técnico y funcional a nivel nacional, fortaleciendo la correcta utilización de los sistemas misionales y promoviendo buenas prácticas en el registro y uso del modelo de datos. Se atendieron oportunamente requerimientos de información de distintos grupos de interés, apoyando la generación y </w:t>
      </w:r>
      <w:r w:rsidRPr="000C5171">
        <w:rPr>
          <w:rFonts w:eastAsia="Arial" w:cs="Tahoma"/>
          <w:sz w:val="22"/>
          <w:szCs w:val="22"/>
        </w:rPr>
        <w:lastRenderedPageBreak/>
        <w:t>actualización de consultas y estructuras analíticas necesarias para garantizar la claridad, disponibilidad y utilidad de la información institucional. Este soporte fue clave para asegurar que los datos utilizados por la entidad mantuvieran consistencia y precisión en todos los niveles.</w:t>
      </w:r>
    </w:p>
    <w:p w14:paraId="09EFDC53" w14:textId="77777777" w:rsidR="00DE3C06" w:rsidRPr="000C5171" w:rsidRDefault="00DE3C06" w:rsidP="00DE3C06">
      <w:pPr>
        <w:spacing w:line="276" w:lineRule="auto"/>
        <w:jc w:val="both"/>
        <w:rPr>
          <w:rFonts w:eastAsia="Arial" w:cs="Tahoma"/>
          <w:sz w:val="22"/>
          <w:szCs w:val="22"/>
        </w:rPr>
      </w:pPr>
      <w:r w:rsidRPr="000C5171">
        <w:rPr>
          <w:rFonts w:eastAsia="Arial" w:cs="Tahoma"/>
          <w:sz w:val="22"/>
          <w:szCs w:val="22"/>
        </w:rPr>
        <w:t xml:space="preserve">Finalmente, se consolidó un trabajo articulado con las áreas misionales y el equipo de calidad y consolidación, permitiendo alinear criterios, necesidades y lineamientos de información dentro del modelo de datos. En este proceso, se desarrollaron diseños lógicos para la futura implementación del Data </w:t>
      </w:r>
      <w:proofErr w:type="spellStart"/>
      <w:r w:rsidRPr="000C5171">
        <w:rPr>
          <w:rFonts w:eastAsia="Arial" w:cs="Tahoma"/>
          <w:sz w:val="22"/>
          <w:szCs w:val="22"/>
        </w:rPr>
        <w:t>Warehouse</w:t>
      </w:r>
      <w:proofErr w:type="spellEnd"/>
      <w:r w:rsidRPr="000C5171">
        <w:rPr>
          <w:rFonts w:eastAsia="Arial" w:cs="Tahoma"/>
          <w:sz w:val="22"/>
          <w:szCs w:val="22"/>
        </w:rPr>
        <w:t xml:space="preserve"> o Data Lake institucional, concebido para albergar, organizar y potenciar el uso estratégico de la información del sistema misional. Este avance constituye un hito relevante hacia un modelo de datos más robusto, sostenible y alineado con las prioridades estratégicas de la Agencia para los próximos años.</w:t>
      </w:r>
    </w:p>
    <w:p w14:paraId="51E41133" w14:textId="77777777" w:rsidR="00DE3C06" w:rsidRPr="000C5171" w:rsidRDefault="00DE3C06" w:rsidP="00DE3C06">
      <w:pPr>
        <w:spacing w:after="0" w:line="276" w:lineRule="auto"/>
        <w:rPr>
          <w:rFonts w:eastAsia="Arial" w:cs="Tahoma"/>
          <w:sz w:val="22"/>
          <w:szCs w:val="22"/>
        </w:rPr>
      </w:pPr>
    </w:p>
    <w:p w14:paraId="3574C272" w14:textId="77777777" w:rsidR="00DE3C06" w:rsidRPr="000C5171" w:rsidRDefault="00DE3C06">
      <w:pPr>
        <w:pStyle w:val="Prrafodelista"/>
        <w:numPr>
          <w:ilvl w:val="1"/>
          <w:numId w:val="33"/>
        </w:numPr>
        <w:spacing w:after="0" w:line="276" w:lineRule="auto"/>
        <w:rPr>
          <w:rFonts w:eastAsia="Arial" w:cs="Tahoma"/>
          <w:color w:val="0070C0"/>
          <w:sz w:val="22"/>
          <w:szCs w:val="22"/>
        </w:rPr>
      </w:pPr>
      <w:r w:rsidRPr="000C5171">
        <w:rPr>
          <w:rFonts w:eastAsia="Arial" w:cs="Tahoma"/>
          <w:color w:val="0070C0"/>
          <w:sz w:val="22"/>
          <w:szCs w:val="22"/>
        </w:rPr>
        <w:t>Banco de Proyectos</w:t>
      </w:r>
    </w:p>
    <w:p w14:paraId="5B545EFD" w14:textId="77777777" w:rsidR="00DE3C06" w:rsidRPr="000C5171" w:rsidRDefault="00DE3C06" w:rsidP="00DE3C06">
      <w:pPr>
        <w:spacing w:after="0" w:line="276" w:lineRule="auto"/>
        <w:ind w:left="792"/>
        <w:rPr>
          <w:rFonts w:eastAsia="Arial" w:cs="Tahoma"/>
          <w:sz w:val="22"/>
          <w:szCs w:val="22"/>
        </w:rPr>
      </w:pPr>
    </w:p>
    <w:p w14:paraId="4ECCE601" w14:textId="77777777" w:rsidR="00DE3C06" w:rsidRPr="000C5171" w:rsidRDefault="00DE3C06" w:rsidP="00DE3C06">
      <w:pPr>
        <w:spacing w:line="276" w:lineRule="auto"/>
        <w:jc w:val="both"/>
        <w:rPr>
          <w:rFonts w:eastAsia="Arial" w:cs="Tahoma"/>
          <w:sz w:val="22"/>
          <w:szCs w:val="22"/>
        </w:rPr>
      </w:pPr>
      <w:r w:rsidRPr="000C5171">
        <w:rPr>
          <w:rFonts w:eastAsia="Arial" w:cs="Tahoma"/>
          <w:sz w:val="22"/>
          <w:szCs w:val="22"/>
        </w:rPr>
        <w:t>En virtud de lo establecido en el artículo 10 del Decreto Ley 893 de 2017, la ART creó el Banco de Proyectos que contiene los proyectos orientados a la atención de las necesidades identificadas en los PATR de las 16 Subregiones PDET. El Banco de Proyectos se define como el conjunto de procesos, procedimientos, roles y herramientas informáticas de carácter estratégico, enfocadas a la recopilación y consolidación de los proyectos de inversión que están orientados a la implementación de los PDET.</w:t>
      </w:r>
    </w:p>
    <w:p w14:paraId="25A082E4" w14:textId="77777777" w:rsidR="00DE3C06" w:rsidRPr="000C5171" w:rsidRDefault="00DE3C06" w:rsidP="00DE3C06">
      <w:pPr>
        <w:spacing w:after="0" w:line="276" w:lineRule="auto"/>
        <w:jc w:val="both"/>
        <w:rPr>
          <w:rFonts w:eastAsia="Arial" w:cs="Tahoma"/>
          <w:sz w:val="22"/>
          <w:szCs w:val="22"/>
        </w:rPr>
      </w:pPr>
      <w:r w:rsidRPr="000C5171">
        <w:rPr>
          <w:rFonts w:eastAsia="Arial" w:cs="Tahoma"/>
          <w:sz w:val="22"/>
          <w:szCs w:val="22"/>
        </w:rPr>
        <w:t>Para poner en marcha el Banco de Proyectos, la ART desarrolló el módulo de Banco de Proyectos en el Sistema de Información Gestión Oferta (SGO), que cuenta con dos fuentes de información: carga directa e interoperabilidad. Como primera fuente, los usuarios de la ART registran los proyectos de manera manual en el sistema, asegurando el ingreso de los soportes que corresponden a estado del proyecto, y como segunda fuente, el módulo integra el componente de interoperabilidad con el Sistema Unificado de Inversiones y Finanzas Pública – SUIFP del DNP, que permite la consulta e integración de la información de los proyectos de inversión pública</w:t>
      </w:r>
      <w:r w:rsidRPr="000C5171">
        <w:rPr>
          <w:rFonts w:eastAsia="Arial" w:cs="Tahoma"/>
          <w:b/>
          <w:bCs/>
          <w:sz w:val="22"/>
          <w:szCs w:val="22"/>
        </w:rPr>
        <w:t xml:space="preserve"> </w:t>
      </w:r>
      <w:r w:rsidRPr="000C5171">
        <w:rPr>
          <w:rFonts w:eastAsia="Arial" w:cs="Tahoma"/>
          <w:sz w:val="22"/>
          <w:szCs w:val="22"/>
        </w:rPr>
        <w:t xml:space="preserve">almacenada en los tres bancos del SUIFP: SUIFP-PGN, SUIFP-SGR y SUIFP-TERRITORIO, en cada una de las fases del ciclo de la inversión pública. </w:t>
      </w:r>
    </w:p>
    <w:p w14:paraId="19CA2618" w14:textId="77777777" w:rsidR="00DE3C06" w:rsidRPr="000C5171" w:rsidRDefault="00DE3C06" w:rsidP="00DE3C06">
      <w:pPr>
        <w:spacing w:after="0" w:line="276" w:lineRule="auto"/>
        <w:ind w:left="792"/>
        <w:rPr>
          <w:rFonts w:eastAsia="Arial" w:cs="Tahoma"/>
          <w:sz w:val="22"/>
          <w:szCs w:val="22"/>
        </w:rPr>
      </w:pPr>
    </w:p>
    <w:p w14:paraId="7B242235" w14:textId="77777777" w:rsidR="00DE3C06" w:rsidRPr="000C5171" w:rsidRDefault="00DE3C06" w:rsidP="00DE3C06">
      <w:pPr>
        <w:spacing w:after="0" w:line="276" w:lineRule="auto"/>
        <w:jc w:val="both"/>
        <w:rPr>
          <w:rFonts w:eastAsia="Arial" w:cs="Tahoma"/>
          <w:sz w:val="22"/>
          <w:szCs w:val="22"/>
        </w:rPr>
      </w:pPr>
      <w:r w:rsidRPr="000C5171">
        <w:rPr>
          <w:rFonts w:eastAsia="Arial" w:cs="Tahoma"/>
          <w:sz w:val="22"/>
          <w:szCs w:val="22"/>
        </w:rPr>
        <w:t xml:space="preserve">Conforme lo anterior, el Banco de Proyectos tiene la vocación de proveer información estandarizada y unificada sobre las intervenciones e inversiones en los 170 municipios y 16 subregiones PDET, facilitando el seguimiento y monitoreo de los proyectos; y, permitir su relación con iniciativas PATR para dar cuenta de su estado de implementación, y con ello, orientar la toma de decisiones. </w:t>
      </w:r>
    </w:p>
    <w:p w14:paraId="34415400" w14:textId="77777777" w:rsidR="00DE3C06" w:rsidRPr="000C5171" w:rsidRDefault="00DE3C06" w:rsidP="00DE3C06">
      <w:pPr>
        <w:spacing w:after="0" w:line="276" w:lineRule="auto"/>
        <w:jc w:val="both"/>
        <w:rPr>
          <w:rFonts w:eastAsia="Arial" w:cs="Tahoma"/>
          <w:sz w:val="22"/>
          <w:szCs w:val="22"/>
        </w:rPr>
      </w:pPr>
    </w:p>
    <w:p w14:paraId="49404A82" w14:textId="77777777" w:rsidR="00DE3C06" w:rsidRPr="000C5171" w:rsidRDefault="00DE3C06" w:rsidP="00DE3C06">
      <w:pPr>
        <w:spacing w:after="0" w:line="276" w:lineRule="auto"/>
        <w:jc w:val="both"/>
        <w:rPr>
          <w:rFonts w:eastAsia="Arial" w:cs="Tahoma"/>
          <w:sz w:val="22"/>
          <w:szCs w:val="22"/>
        </w:rPr>
      </w:pPr>
      <w:r w:rsidRPr="000C5171">
        <w:rPr>
          <w:rFonts w:eastAsia="Arial" w:cs="Tahoma"/>
          <w:sz w:val="22"/>
          <w:szCs w:val="22"/>
        </w:rPr>
        <w:t xml:space="preserve">De la misma forma, el Banco de Proyectos se conecta con diferentes módulos del Sistema de Gestión de Oferta, como son: (i) OCAD PAZ, en el momento de la aprobación de las iniciativas </w:t>
      </w:r>
      <w:r w:rsidRPr="000C5171">
        <w:rPr>
          <w:rFonts w:eastAsia="Arial" w:cs="Tahoma"/>
          <w:sz w:val="22"/>
          <w:szCs w:val="22"/>
        </w:rPr>
        <w:lastRenderedPageBreak/>
        <w:t>asociadas por el solicitante y de la habilitación del proyecto por el servicio interoperabilidad, (</w:t>
      </w:r>
      <w:proofErr w:type="spellStart"/>
      <w:r w:rsidRPr="000C5171">
        <w:rPr>
          <w:rFonts w:eastAsia="Arial" w:cs="Tahoma"/>
          <w:sz w:val="22"/>
          <w:szCs w:val="22"/>
        </w:rPr>
        <w:t>ii</w:t>
      </w:r>
      <w:proofErr w:type="spellEnd"/>
      <w:r w:rsidRPr="000C5171">
        <w:rPr>
          <w:rFonts w:eastAsia="Arial" w:cs="Tahoma"/>
          <w:sz w:val="22"/>
          <w:szCs w:val="22"/>
        </w:rPr>
        <w:t>) Obras por impuestos, cuando se hace la carga de los proyectos viables para ser financiados por los contribuyentes; (</w:t>
      </w:r>
      <w:proofErr w:type="spellStart"/>
      <w:r w:rsidRPr="000C5171">
        <w:rPr>
          <w:rFonts w:eastAsia="Arial" w:cs="Tahoma"/>
          <w:sz w:val="22"/>
          <w:szCs w:val="22"/>
        </w:rPr>
        <w:t>iii</w:t>
      </w:r>
      <w:proofErr w:type="spellEnd"/>
      <w:r w:rsidRPr="000C5171">
        <w:rPr>
          <w:rFonts w:eastAsia="Arial" w:cs="Tahoma"/>
          <w:sz w:val="22"/>
          <w:szCs w:val="22"/>
        </w:rPr>
        <w:t xml:space="preserve">) Listados, en este módulo se relaciona información contenida en los diferentes módulos del Sistema de Gestión de </w:t>
      </w:r>
      <w:proofErr w:type="spellStart"/>
      <w:r w:rsidRPr="000C5171">
        <w:rPr>
          <w:rFonts w:eastAsia="Arial" w:cs="Tahoma"/>
          <w:sz w:val="22"/>
          <w:szCs w:val="22"/>
        </w:rPr>
        <w:t>Oferta,y</w:t>
      </w:r>
      <w:proofErr w:type="spellEnd"/>
      <w:r w:rsidRPr="000C5171">
        <w:rPr>
          <w:rFonts w:eastAsia="Arial" w:cs="Tahoma"/>
          <w:sz w:val="22"/>
          <w:szCs w:val="22"/>
        </w:rPr>
        <w:t xml:space="preserve"> (</w:t>
      </w:r>
      <w:proofErr w:type="spellStart"/>
      <w:r w:rsidRPr="000C5171">
        <w:rPr>
          <w:rFonts w:eastAsia="Arial" w:cs="Tahoma"/>
          <w:sz w:val="22"/>
          <w:szCs w:val="22"/>
        </w:rPr>
        <w:t>iv</w:t>
      </w:r>
      <w:proofErr w:type="spellEnd"/>
      <w:r w:rsidRPr="000C5171">
        <w:rPr>
          <w:rFonts w:eastAsia="Arial" w:cs="Tahoma"/>
          <w:sz w:val="22"/>
          <w:szCs w:val="22"/>
        </w:rPr>
        <w:t>) Esquema de acompañamiento a proyectos priorizados PDET, dado que este módulo toma los proyectos del Banco que están en un estado particular para realizar el seguimiento correspondiente. Adicionalmente, el visor Central PDET se conecta a la base de datos del Banco y toma la información de proyectos e inversiones.</w:t>
      </w:r>
    </w:p>
    <w:p w14:paraId="42773425" w14:textId="77777777" w:rsidR="00DE3C06" w:rsidRPr="000C5171" w:rsidRDefault="00DE3C06" w:rsidP="00DE3C06">
      <w:pPr>
        <w:spacing w:after="0" w:line="276" w:lineRule="auto"/>
        <w:jc w:val="both"/>
        <w:rPr>
          <w:rFonts w:eastAsia="Arial" w:cs="Tahoma"/>
          <w:sz w:val="22"/>
          <w:szCs w:val="22"/>
        </w:rPr>
      </w:pPr>
    </w:p>
    <w:p w14:paraId="72183DE3" w14:textId="77777777" w:rsidR="00DE3C06" w:rsidRPr="000C5171" w:rsidRDefault="00DE3C06" w:rsidP="00DE3C06">
      <w:pPr>
        <w:spacing w:after="0" w:line="276" w:lineRule="auto"/>
        <w:jc w:val="both"/>
        <w:rPr>
          <w:rFonts w:eastAsia="Arial" w:cs="Tahoma"/>
          <w:sz w:val="22"/>
          <w:szCs w:val="22"/>
        </w:rPr>
      </w:pPr>
      <w:r w:rsidRPr="000C5171">
        <w:rPr>
          <w:rFonts w:eastAsia="Arial" w:cs="Tahoma"/>
          <w:sz w:val="22"/>
          <w:szCs w:val="22"/>
        </w:rPr>
        <w:t>Con el objetivo de orientar e implementar los procesos de recopilación, consolidación y calidad de la información de los registros del Banco de Proyectos, la DIPRO ha definido 17 reglas de calidad de los registros de carga manual, clasificadas en 2 alertas y 15 inconsistencias. Las alertas hacen referencia a información desactualizada o incompleta, pero no implica un error de los datos; por su parte, las inconsistencias corresponden a información errónea o faltante de los registros. Las anteriores reglas están en consonancia con los criterios de completitud, exactitud y pertenencia que deben tener los registros del sistema de información misional de la Agencia, los cuales están establecidos en la Resolución 687 de 2021, que dicta las disposiciones sobre la gestión y registro de la información para la implementación y seguimiento de los PDET.</w:t>
      </w:r>
    </w:p>
    <w:p w14:paraId="270B347D" w14:textId="77777777" w:rsidR="00DE3C06" w:rsidRPr="000C5171" w:rsidRDefault="00DE3C06" w:rsidP="00DE3C06">
      <w:pPr>
        <w:spacing w:line="276" w:lineRule="auto"/>
        <w:jc w:val="both"/>
        <w:rPr>
          <w:rFonts w:eastAsia="Arial" w:cs="Tahoma"/>
          <w:sz w:val="22"/>
          <w:szCs w:val="22"/>
        </w:rPr>
      </w:pPr>
    </w:p>
    <w:p w14:paraId="73E95F2C" w14:textId="77777777" w:rsidR="00DE3C06" w:rsidRPr="000C5171" w:rsidRDefault="00DE3C06" w:rsidP="00DE3C06">
      <w:pPr>
        <w:spacing w:after="0" w:line="276" w:lineRule="auto"/>
        <w:jc w:val="both"/>
        <w:rPr>
          <w:rFonts w:eastAsia="Arial" w:cs="Tahoma"/>
          <w:sz w:val="22"/>
          <w:szCs w:val="22"/>
        </w:rPr>
      </w:pPr>
      <w:r w:rsidRPr="000C5171">
        <w:rPr>
          <w:rFonts w:eastAsia="Arial" w:cs="Tahoma"/>
          <w:sz w:val="22"/>
          <w:szCs w:val="22"/>
        </w:rPr>
        <w:t xml:space="preserve">Durante el cuatrienio 2022-2026 se desarrollaron las siguientes acciones que mantuvieron vigente el Banco de Proyectos de la ART y permitieron su consolidación: </w:t>
      </w:r>
    </w:p>
    <w:p w14:paraId="5AF50AED" w14:textId="77777777" w:rsidR="00DE3C06" w:rsidRPr="000C5171" w:rsidRDefault="00DE3C06" w:rsidP="00DE3C06">
      <w:pPr>
        <w:spacing w:after="0" w:line="276" w:lineRule="auto"/>
        <w:jc w:val="both"/>
        <w:rPr>
          <w:rFonts w:eastAsia="Arial" w:cs="Tahoma"/>
          <w:sz w:val="22"/>
          <w:szCs w:val="22"/>
        </w:rPr>
      </w:pPr>
    </w:p>
    <w:p w14:paraId="05B10E54" w14:textId="77777777" w:rsidR="00DE3C06" w:rsidRPr="000C5171" w:rsidRDefault="00DE3C06">
      <w:pPr>
        <w:pStyle w:val="Prrafodelista"/>
        <w:numPr>
          <w:ilvl w:val="0"/>
          <w:numId w:val="9"/>
        </w:numPr>
        <w:spacing w:after="0" w:line="276" w:lineRule="auto"/>
        <w:ind w:left="284" w:hanging="284"/>
        <w:jc w:val="both"/>
        <w:rPr>
          <w:rFonts w:eastAsia="Arial" w:cs="Tahoma"/>
          <w:sz w:val="22"/>
          <w:szCs w:val="22"/>
        </w:rPr>
      </w:pPr>
      <w:r w:rsidRPr="000C5171">
        <w:rPr>
          <w:rFonts w:eastAsia="Arial" w:cs="Tahoma"/>
          <w:sz w:val="22"/>
          <w:szCs w:val="22"/>
        </w:rPr>
        <w:t>Depuración de la información de más de 3.000 proyectos estructurados en fase III, es decir, de aquellos proyectos que para la ART eran viables y requerían financiamiento, proceso que requirió la alineación de criterios para la homologación de los estados de los proyectos de SUIFP SGR con los estados del Banco de Proyectos de la ART.</w:t>
      </w:r>
    </w:p>
    <w:p w14:paraId="747F5307" w14:textId="77777777" w:rsidR="00DE3C06" w:rsidRPr="000C5171" w:rsidRDefault="00DE3C06">
      <w:pPr>
        <w:pStyle w:val="Prrafodelista"/>
        <w:numPr>
          <w:ilvl w:val="0"/>
          <w:numId w:val="9"/>
        </w:numPr>
        <w:spacing w:after="0" w:line="276" w:lineRule="auto"/>
        <w:ind w:left="284" w:hanging="284"/>
        <w:jc w:val="both"/>
        <w:rPr>
          <w:rFonts w:eastAsia="Arial" w:cs="Tahoma"/>
          <w:sz w:val="22"/>
          <w:szCs w:val="22"/>
        </w:rPr>
      </w:pPr>
      <w:r w:rsidRPr="000C5171">
        <w:rPr>
          <w:rFonts w:eastAsia="Arial" w:cs="Tahoma"/>
          <w:sz w:val="22"/>
          <w:szCs w:val="22"/>
        </w:rPr>
        <w:t>Fortalecimiento del modelo operativo para el aseguramiento de la calidad de la información registrada en el sistema, esto a través de la actualización de las reglas de calidad para los registros de carga manual y la puesta en producción de desarrollos de software.</w:t>
      </w:r>
    </w:p>
    <w:p w14:paraId="53A11B51" w14:textId="77777777" w:rsidR="00DE3C06" w:rsidRPr="000C5171" w:rsidRDefault="00DE3C06">
      <w:pPr>
        <w:pStyle w:val="Prrafodelista"/>
        <w:numPr>
          <w:ilvl w:val="0"/>
          <w:numId w:val="9"/>
        </w:numPr>
        <w:spacing w:after="0" w:line="276" w:lineRule="auto"/>
        <w:ind w:left="284" w:hanging="284"/>
        <w:jc w:val="both"/>
        <w:rPr>
          <w:rFonts w:eastAsia="Arial" w:cs="Tahoma"/>
          <w:sz w:val="22"/>
          <w:szCs w:val="22"/>
        </w:rPr>
      </w:pPr>
      <w:r w:rsidRPr="000C5171">
        <w:rPr>
          <w:rFonts w:eastAsia="Arial" w:cs="Tahoma"/>
          <w:sz w:val="22"/>
          <w:szCs w:val="22"/>
        </w:rPr>
        <w:t xml:space="preserve">Puesta en marcha </w:t>
      </w:r>
      <w:r w:rsidRPr="00422D9A">
        <w:rPr>
          <w:rFonts w:eastAsia="Arial" w:cs="Tahoma"/>
          <w:sz w:val="22"/>
          <w:szCs w:val="22"/>
        </w:rPr>
        <w:t>de la estrategia de revisión, actualización y depuración de registros estáticos, mediante la cual se han subsanado 1.476 registros de un total de 1.522 registros que tenían más de 6 meses sin actualizar por parte de las dependencias y subregiones, lo que representa un avance de 96,98%. Esta estrategia es importante dada la responsabilidad que tiene la Agencia de asegurar la calidad de los regis</w:t>
      </w:r>
      <w:r w:rsidRPr="000C5171">
        <w:rPr>
          <w:rFonts w:eastAsia="Arial" w:cs="Tahoma"/>
          <w:sz w:val="22"/>
          <w:szCs w:val="22"/>
        </w:rPr>
        <w:t xml:space="preserve">tros, especialmente los de carga manual, pues su completitud permite contar con información confiable sobre la implementación de los PDET.  </w:t>
      </w:r>
    </w:p>
    <w:p w14:paraId="66A1E24B" w14:textId="77777777" w:rsidR="00DE3C06" w:rsidRPr="000C5171" w:rsidRDefault="00DE3C06">
      <w:pPr>
        <w:pStyle w:val="Prrafodelista"/>
        <w:numPr>
          <w:ilvl w:val="0"/>
          <w:numId w:val="9"/>
        </w:numPr>
        <w:spacing w:after="0" w:line="276" w:lineRule="auto"/>
        <w:ind w:left="284" w:hanging="284"/>
        <w:jc w:val="both"/>
        <w:rPr>
          <w:rFonts w:eastAsia="Arial" w:cs="Tahoma"/>
          <w:sz w:val="22"/>
          <w:szCs w:val="22"/>
        </w:rPr>
      </w:pPr>
      <w:r w:rsidRPr="000C5171">
        <w:rPr>
          <w:rFonts w:eastAsia="Arial" w:cs="Tahoma"/>
          <w:sz w:val="22"/>
          <w:szCs w:val="22"/>
        </w:rPr>
        <w:lastRenderedPageBreak/>
        <w:t>Actualización de la documentación que soporta la operación de Banco, como son: el manual de usuario, la guía de soporte funcional y el procedimiento de calidad de la información misional.</w:t>
      </w:r>
    </w:p>
    <w:p w14:paraId="6B73385A" w14:textId="77777777" w:rsidR="00DE3C06" w:rsidRPr="000C5171" w:rsidRDefault="00DE3C06">
      <w:pPr>
        <w:pStyle w:val="Prrafodelista"/>
        <w:numPr>
          <w:ilvl w:val="0"/>
          <w:numId w:val="9"/>
        </w:numPr>
        <w:spacing w:after="0" w:line="276" w:lineRule="auto"/>
        <w:ind w:left="284" w:hanging="284"/>
        <w:jc w:val="both"/>
        <w:rPr>
          <w:rFonts w:eastAsia="Arial" w:cs="Tahoma"/>
          <w:sz w:val="22"/>
          <w:szCs w:val="22"/>
        </w:rPr>
      </w:pPr>
      <w:r w:rsidRPr="000C5171">
        <w:rPr>
          <w:rFonts w:eastAsia="Arial" w:cs="Tahoma"/>
          <w:sz w:val="22"/>
          <w:szCs w:val="22"/>
        </w:rPr>
        <w:t>Operación de una solución temporal a la interoperabilidad con la Plataforma Integrada de Inversión Pública (PIIP) del DNP, para los proyectos de inversión PGN Nación y Territorio, lo que contribuye a la actualización y armonización del sistema de información misional de la Agencia con los instrumentos de gestión de proyectos de inversión a nivel nacional</w:t>
      </w:r>
      <w:r w:rsidRPr="000C5171">
        <w:rPr>
          <w:rFonts w:eastAsia="Arial" w:cs="Tahoma"/>
          <w:sz w:val="22"/>
          <w:szCs w:val="22"/>
          <w:vertAlign w:val="superscript"/>
        </w:rPr>
        <w:t>1</w:t>
      </w:r>
      <w:r w:rsidRPr="000C5171">
        <w:rPr>
          <w:rFonts w:eastAsia="Arial" w:cs="Tahoma"/>
          <w:sz w:val="22"/>
          <w:szCs w:val="22"/>
        </w:rPr>
        <w:t>.</w:t>
      </w:r>
    </w:p>
    <w:p w14:paraId="3E45BE1F" w14:textId="77777777" w:rsidR="00DE3C06" w:rsidRPr="000C5171" w:rsidRDefault="00DE3C06" w:rsidP="00DE3C06">
      <w:pPr>
        <w:spacing w:after="0" w:line="276" w:lineRule="auto"/>
        <w:jc w:val="both"/>
        <w:rPr>
          <w:rFonts w:eastAsia="Arial" w:cs="Tahoma"/>
          <w:sz w:val="22"/>
          <w:szCs w:val="22"/>
        </w:rPr>
      </w:pPr>
    </w:p>
    <w:p w14:paraId="149B749F" w14:textId="77777777" w:rsidR="00DE3C06" w:rsidRPr="000C5171" w:rsidRDefault="00DE3C06" w:rsidP="00DE3C06">
      <w:pPr>
        <w:spacing w:after="0" w:line="276" w:lineRule="auto"/>
        <w:jc w:val="both"/>
        <w:rPr>
          <w:rFonts w:eastAsia="Arial" w:cs="Tahoma"/>
          <w:sz w:val="22"/>
          <w:szCs w:val="22"/>
        </w:rPr>
      </w:pPr>
      <w:r w:rsidRPr="001E37D8">
        <w:rPr>
          <w:rFonts w:eastAsia="Arial" w:cs="Tahoma"/>
          <w:sz w:val="22"/>
          <w:szCs w:val="22"/>
        </w:rPr>
        <w:t>A corte al 31 de mayo del 2026, el Banco de Proyectos de la ART registra un total de 20.705 proyectos validados y asociados a iniciativas, los cuales han sido movilizados a través de fuentes de financiación públicas, privadas y de cooperación internacional en los territorios PDET, de los cuales 10.615 proyectos fueron incorporados o validados en el periodo de Gobierno 2022-2026.</w:t>
      </w:r>
    </w:p>
    <w:p w14:paraId="2AD5A492" w14:textId="77777777" w:rsidR="00DE3C06" w:rsidRPr="000C5171" w:rsidRDefault="00DE3C06" w:rsidP="00DE3C06">
      <w:pPr>
        <w:spacing w:after="0" w:line="276" w:lineRule="auto"/>
        <w:rPr>
          <w:rFonts w:eastAsia="Arial" w:cs="Tahoma"/>
          <w:sz w:val="22"/>
          <w:szCs w:val="22"/>
        </w:rPr>
      </w:pPr>
    </w:p>
    <w:p w14:paraId="61174057" w14:textId="77777777" w:rsidR="00DE3C06" w:rsidRPr="000C5171" w:rsidRDefault="00DE3C06" w:rsidP="00DE3C06">
      <w:pPr>
        <w:spacing w:after="0" w:line="276" w:lineRule="auto"/>
        <w:rPr>
          <w:rFonts w:eastAsia="Arial" w:cs="Tahoma"/>
          <w:sz w:val="22"/>
          <w:szCs w:val="22"/>
        </w:rPr>
      </w:pPr>
    </w:p>
    <w:p w14:paraId="540C3880" w14:textId="77777777" w:rsidR="00DE3C06" w:rsidRPr="000C5171" w:rsidRDefault="00DE3C06" w:rsidP="00DE3C06">
      <w:pPr>
        <w:spacing w:after="0" w:line="276" w:lineRule="auto"/>
        <w:rPr>
          <w:rFonts w:eastAsia="Arial" w:cs="Tahoma"/>
          <w:sz w:val="22"/>
          <w:szCs w:val="22"/>
        </w:rPr>
      </w:pPr>
    </w:p>
    <w:p w14:paraId="73E059BE" w14:textId="77777777" w:rsidR="00DE3C06" w:rsidRPr="000C5171" w:rsidRDefault="00DE3C06">
      <w:pPr>
        <w:pStyle w:val="Prrafodelista"/>
        <w:numPr>
          <w:ilvl w:val="1"/>
          <w:numId w:val="33"/>
        </w:numPr>
        <w:spacing w:after="0" w:line="276" w:lineRule="auto"/>
        <w:rPr>
          <w:rFonts w:eastAsia="Arial" w:cs="Tahoma"/>
          <w:color w:val="0070C0"/>
          <w:sz w:val="22"/>
          <w:szCs w:val="22"/>
        </w:rPr>
      </w:pPr>
      <w:r w:rsidRPr="000C5171">
        <w:rPr>
          <w:rFonts w:eastAsia="Arial" w:cs="Tahoma"/>
          <w:color w:val="0070C0"/>
          <w:sz w:val="22"/>
          <w:szCs w:val="22"/>
        </w:rPr>
        <w:t>Sistema de Información Geográfico</w:t>
      </w:r>
    </w:p>
    <w:p w14:paraId="00DFC6AA" w14:textId="77777777" w:rsidR="00DE3C06" w:rsidRPr="000C5171" w:rsidRDefault="00DE3C06" w:rsidP="00DE3C06">
      <w:pPr>
        <w:spacing w:after="0" w:line="276" w:lineRule="auto"/>
        <w:ind w:left="792"/>
        <w:rPr>
          <w:rFonts w:eastAsia="Arial" w:cs="Tahoma"/>
          <w:sz w:val="22"/>
          <w:szCs w:val="22"/>
        </w:rPr>
      </w:pPr>
    </w:p>
    <w:p w14:paraId="23D505F5" w14:textId="77777777" w:rsidR="00DE3C06" w:rsidRPr="000C5171" w:rsidRDefault="00DE3C06" w:rsidP="00DE3C06">
      <w:pPr>
        <w:spacing w:line="276" w:lineRule="auto"/>
        <w:jc w:val="both"/>
        <w:rPr>
          <w:rFonts w:eastAsia="Arial" w:cs="Tahoma"/>
          <w:sz w:val="22"/>
          <w:szCs w:val="22"/>
        </w:rPr>
      </w:pPr>
      <w:r w:rsidRPr="000C5171">
        <w:rPr>
          <w:rFonts w:eastAsia="Arial" w:cs="Tahoma"/>
          <w:sz w:val="22"/>
          <w:szCs w:val="22"/>
        </w:rPr>
        <w:t xml:space="preserve">El Sistema de Información Geográfica de la ART, es la plataforma tecnológica institucional soportada en la infraestructura ArcGIS de </w:t>
      </w:r>
      <w:proofErr w:type="spellStart"/>
      <w:r w:rsidRPr="000C5171">
        <w:rPr>
          <w:rFonts w:eastAsia="Arial" w:cs="Tahoma"/>
          <w:sz w:val="22"/>
          <w:szCs w:val="22"/>
        </w:rPr>
        <w:t>Esri</w:t>
      </w:r>
      <w:proofErr w:type="spellEnd"/>
      <w:r w:rsidRPr="000C5171">
        <w:rPr>
          <w:rFonts w:eastAsia="Arial" w:cs="Tahoma"/>
          <w:sz w:val="22"/>
          <w:szCs w:val="22"/>
        </w:rPr>
        <w:t xml:space="preserve">, dispuesta para integrar, almacenar, procesar y publicar la información geoespacial que soporta la planeación, seguimiento y toma de decisiones en los procesos misionales de la entidad. </w:t>
      </w:r>
    </w:p>
    <w:p w14:paraId="3E524333" w14:textId="77777777" w:rsidR="00DE3C06" w:rsidRPr="000C5171" w:rsidRDefault="00DE3C06" w:rsidP="00DE3C06">
      <w:pPr>
        <w:spacing w:line="276" w:lineRule="auto"/>
        <w:jc w:val="both"/>
        <w:rPr>
          <w:rFonts w:eastAsia="Arial" w:cs="Tahoma"/>
          <w:sz w:val="22"/>
          <w:szCs w:val="22"/>
        </w:rPr>
      </w:pPr>
      <w:r w:rsidRPr="000C5171">
        <w:rPr>
          <w:rFonts w:eastAsia="Arial" w:cs="Tahoma"/>
          <w:sz w:val="22"/>
          <w:szCs w:val="22"/>
        </w:rPr>
        <w:t xml:space="preserve">Contar con el SIG-ART facilita la disponibilidad y el acceso a datos geográficos, con calidad y oportunidad, para análisis territoriales, producción cartográfica y </w:t>
      </w:r>
      <w:proofErr w:type="spellStart"/>
      <w:r w:rsidRPr="000C5171">
        <w:rPr>
          <w:rFonts w:eastAsia="Arial" w:cs="Tahoma"/>
          <w:sz w:val="22"/>
          <w:szCs w:val="22"/>
        </w:rPr>
        <w:t>geovisores</w:t>
      </w:r>
      <w:proofErr w:type="spellEnd"/>
      <w:r w:rsidRPr="000C5171">
        <w:rPr>
          <w:rFonts w:eastAsia="Arial" w:cs="Tahoma"/>
          <w:sz w:val="22"/>
          <w:szCs w:val="22"/>
        </w:rPr>
        <w:t xml:space="preserve"> especializados, para la gestión rural y la toma de decisiones por parte de las direcciones técnicas, grupos regionales y aliados estratégicos. </w:t>
      </w:r>
    </w:p>
    <w:p w14:paraId="74E8CD89" w14:textId="77777777" w:rsidR="00DE3C06" w:rsidRPr="000C5171" w:rsidRDefault="00DE3C06" w:rsidP="00DE3C06">
      <w:pPr>
        <w:spacing w:line="276" w:lineRule="auto"/>
        <w:jc w:val="both"/>
        <w:rPr>
          <w:rFonts w:eastAsia="Arial" w:cs="Tahoma"/>
          <w:sz w:val="22"/>
          <w:szCs w:val="22"/>
        </w:rPr>
      </w:pPr>
      <w:r w:rsidRPr="000C5171">
        <w:rPr>
          <w:rFonts w:eastAsia="Arial" w:cs="Tahoma"/>
          <w:sz w:val="22"/>
          <w:szCs w:val="22"/>
        </w:rPr>
        <w:t>El SIG de la ART se concibe como un sistema corporativo, orientado a consolidar la información territorial generada en los proyectos de la entidad, un ejemplo de ello es la implementación del PDET y procesos de transformación del territorio. De igual forma, facilita la integración con sistemas sectoriales y nacionales mediante la adopción de estándares del sector geográfico, lo que permite alinear los procesos y las políticas de interoperabilidad del Gobierno Digital. En este sentido, el SIG no se limita a una plataforma tecnológica, sino que constituye un ecosistema institucional de gestión del dato geográfico, apoyado en lineamientos, metodologías, procesos de gobernanza y capacidades técnicas que garantizan continuidad y sostenibilidad para el próximo cuatrienio.</w:t>
      </w:r>
    </w:p>
    <w:p w14:paraId="2221E660" w14:textId="77777777" w:rsidR="00DE3C06" w:rsidRPr="000C5171" w:rsidRDefault="00DE3C06" w:rsidP="00DE3C06">
      <w:pPr>
        <w:spacing w:line="276" w:lineRule="auto"/>
        <w:jc w:val="both"/>
        <w:rPr>
          <w:rFonts w:eastAsia="Arial" w:cs="Tahoma"/>
          <w:sz w:val="22"/>
          <w:szCs w:val="22"/>
        </w:rPr>
      </w:pPr>
    </w:p>
    <w:p w14:paraId="098FB00B" w14:textId="77777777" w:rsidR="00DE3C06" w:rsidRPr="000C5171" w:rsidRDefault="00DE3C06" w:rsidP="00DE3C06">
      <w:pPr>
        <w:spacing w:line="276" w:lineRule="auto"/>
        <w:jc w:val="both"/>
        <w:rPr>
          <w:rFonts w:eastAsia="Arial" w:cs="Tahoma"/>
          <w:color w:val="0070C0"/>
          <w:sz w:val="22"/>
          <w:szCs w:val="22"/>
        </w:rPr>
      </w:pPr>
      <w:r w:rsidRPr="000C5171">
        <w:rPr>
          <w:rFonts w:eastAsia="Arial" w:cs="Tahoma"/>
          <w:color w:val="0070C0"/>
          <w:sz w:val="22"/>
          <w:szCs w:val="22"/>
        </w:rPr>
        <w:t>12.4.1 Conformación del Sistema de Información Geográfica de la ART</w:t>
      </w:r>
    </w:p>
    <w:p w14:paraId="68614E31" w14:textId="77777777" w:rsidR="00DE3C06" w:rsidRPr="000C5171" w:rsidRDefault="00DE3C06" w:rsidP="00DE3C06">
      <w:pPr>
        <w:spacing w:line="276" w:lineRule="auto"/>
        <w:jc w:val="both"/>
        <w:rPr>
          <w:rFonts w:eastAsia="Arial" w:cs="Tahoma"/>
          <w:sz w:val="22"/>
          <w:szCs w:val="22"/>
        </w:rPr>
      </w:pPr>
      <w:r w:rsidRPr="000C5171">
        <w:rPr>
          <w:rFonts w:eastAsia="Arial" w:cs="Tahoma"/>
          <w:sz w:val="22"/>
          <w:szCs w:val="22"/>
        </w:rPr>
        <w:lastRenderedPageBreak/>
        <w:t xml:space="preserve">El SIG ART está conformado por una arquitectura híbrida que integra la plataforma en la nube </w:t>
      </w:r>
      <w:r w:rsidRPr="000C5171">
        <w:rPr>
          <w:rStyle w:val="Textoennegrita"/>
          <w:rFonts w:eastAsia="Arial" w:cs="Tahoma"/>
          <w:sz w:val="22"/>
          <w:szCs w:val="22"/>
        </w:rPr>
        <w:t>ArcGIS Online (AGOL)</w:t>
      </w:r>
      <w:r w:rsidRPr="000C5171">
        <w:rPr>
          <w:rFonts w:eastAsia="Arial" w:cs="Tahoma"/>
          <w:sz w:val="22"/>
          <w:szCs w:val="22"/>
        </w:rPr>
        <w:t xml:space="preserve"> y la infraestructura local </w:t>
      </w:r>
      <w:r w:rsidRPr="000C5171">
        <w:rPr>
          <w:rStyle w:val="Textoennegrita"/>
          <w:rFonts w:eastAsia="Arial" w:cs="Tahoma"/>
          <w:sz w:val="22"/>
          <w:szCs w:val="22"/>
        </w:rPr>
        <w:t>ArcGIS Enterprise Portal</w:t>
      </w:r>
      <w:r w:rsidRPr="000C5171">
        <w:rPr>
          <w:rFonts w:eastAsia="Arial" w:cs="Tahoma"/>
          <w:sz w:val="22"/>
          <w:szCs w:val="22"/>
        </w:rPr>
        <w:t>, permitiendo cubrir necesidades de creación, análisis, publicación, interoperabilidad y resguardo seguro de la información territorial. Esta conformación se encuentra representada en el diagrama de arquitectura institucional, Ilustración 1</w:t>
      </w:r>
      <w:r w:rsidRPr="000C5171">
        <w:rPr>
          <w:rFonts w:eastAsia="Arial" w:cs="Tahoma"/>
          <w:i/>
          <w:iCs/>
          <w:sz w:val="22"/>
          <w:szCs w:val="22"/>
        </w:rPr>
        <w:t>6</w:t>
      </w:r>
      <w:r w:rsidRPr="000C5171">
        <w:rPr>
          <w:rFonts w:eastAsia="Arial" w:cs="Tahoma"/>
          <w:sz w:val="22"/>
          <w:szCs w:val="22"/>
        </w:rPr>
        <w:t xml:space="preserve">, donde se evidencia la coexistencia de los servidores de publicación, bases de datos corporativas, </w:t>
      </w:r>
      <w:proofErr w:type="spellStart"/>
      <w:r w:rsidRPr="000C5171">
        <w:rPr>
          <w:rFonts w:eastAsia="Arial" w:cs="Tahoma"/>
          <w:sz w:val="22"/>
          <w:szCs w:val="22"/>
        </w:rPr>
        <w:t>DataStore</w:t>
      </w:r>
      <w:proofErr w:type="spellEnd"/>
      <w:r w:rsidRPr="000C5171">
        <w:rPr>
          <w:rFonts w:eastAsia="Arial" w:cs="Tahoma"/>
          <w:sz w:val="22"/>
          <w:szCs w:val="22"/>
        </w:rPr>
        <w:t xml:space="preserve">, Portal federado y el </w:t>
      </w:r>
      <w:proofErr w:type="spellStart"/>
      <w:r w:rsidRPr="000C5171">
        <w:rPr>
          <w:rFonts w:eastAsia="Arial" w:cs="Tahoma"/>
          <w:sz w:val="22"/>
          <w:szCs w:val="22"/>
        </w:rPr>
        <w:t>License</w:t>
      </w:r>
      <w:proofErr w:type="spellEnd"/>
      <w:r w:rsidRPr="000C5171">
        <w:rPr>
          <w:rFonts w:eastAsia="Arial" w:cs="Tahoma"/>
          <w:sz w:val="22"/>
          <w:szCs w:val="22"/>
        </w:rPr>
        <w:t xml:space="preserve"> Manager para ArcGIS Desktop y Pro.</w:t>
      </w:r>
    </w:p>
    <w:p w14:paraId="7801907A" w14:textId="77777777" w:rsidR="00DE3C06" w:rsidRPr="000C5171" w:rsidRDefault="00DE3C06" w:rsidP="00DE3C06">
      <w:pPr>
        <w:spacing w:after="200" w:line="276" w:lineRule="auto"/>
        <w:jc w:val="center"/>
        <w:rPr>
          <w:rFonts w:eastAsia="Arial" w:cs="Tahoma"/>
          <w:i/>
          <w:iCs/>
          <w:sz w:val="22"/>
          <w:szCs w:val="22"/>
        </w:rPr>
      </w:pPr>
      <w:r w:rsidRPr="000C5171">
        <w:rPr>
          <w:rFonts w:eastAsia="Arial" w:cs="Tahoma"/>
          <w:b/>
          <w:bCs/>
          <w:sz w:val="22"/>
          <w:szCs w:val="22"/>
        </w:rPr>
        <w:t>Gráfica 9. Diagrama de arquitectura institucional.</w:t>
      </w:r>
    </w:p>
    <w:p w14:paraId="6F10A0FD" w14:textId="77777777" w:rsidR="00DE3C06" w:rsidRPr="000C5171" w:rsidRDefault="00DE3C06" w:rsidP="00DE3C06">
      <w:pPr>
        <w:keepNext/>
        <w:spacing w:line="276" w:lineRule="auto"/>
        <w:jc w:val="center"/>
        <w:rPr>
          <w:rFonts w:eastAsia="Arial" w:cs="Tahoma"/>
          <w:sz w:val="22"/>
          <w:szCs w:val="22"/>
        </w:rPr>
      </w:pPr>
      <w:r w:rsidRPr="000C5171">
        <w:rPr>
          <w:noProof/>
        </w:rPr>
        <w:drawing>
          <wp:inline distT="0" distB="0" distL="0" distR="0" wp14:anchorId="09CD254F" wp14:editId="1E1D00B9">
            <wp:extent cx="5128260" cy="3078480"/>
            <wp:effectExtent l="76200" t="76200" r="129540" b="140970"/>
            <wp:docPr id="5" name="Imagen 4" descr="Diagrama&#10;&#10;El contenido generado por IA puede ser incorrecto.">
              <a:extLst xmlns:a="http://schemas.openxmlformats.org/drawingml/2006/main">
                <a:ext uri="{FF2B5EF4-FFF2-40B4-BE49-F238E27FC236}">
                  <a16:creationId xmlns:a16="http://schemas.microsoft.com/office/drawing/2014/main" id="{EB3527FE-281D-66DA-F804-F85A7F90D6AD}"/>
                </a:ext>
              </a:extLst>
            </wp:docPr>
            <wp:cNvGraphicFramePr/>
            <a:graphic xmlns:a="http://schemas.openxmlformats.org/drawingml/2006/main">
              <a:graphicData uri="http://schemas.openxmlformats.org/drawingml/2006/picture">
                <pic:pic xmlns:pic="http://schemas.openxmlformats.org/drawingml/2006/picture">
                  <pic:nvPicPr>
                    <pic:cNvPr id="5" name="Imagen 4" descr="Diagrama&#10;&#10;El contenido generado por IA puede ser incorrecto.">
                      <a:extLst>
                        <a:ext uri="{FF2B5EF4-FFF2-40B4-BE49-F238E27FC236}">
                          <a16:creationId xmlns:a16="http://schemas.microsoft.com/office/drawing/2014/main" id="{EB3527FE-281D-66DA-F804-F85A7F90D6AD}"/>
                        </a:ext>
                      </a:extLst>
                    </pic:cNvPr>
                    <pic:cNvPicPr/>
                  </pic:nvPicPr>
                  <pic:blipFill rotWithShape="1">
                    <a:blip r:embed="rId31">
                      <a:extLst>
                        <a:ext uri="{BEBA8EAE-BF5A-486C-A8C5-ECC9F3942E4B}">
                          <a14:imgProps xmlns:a14="http://schemas.microsoft.com/office/drawing/2010/main">
                            <a14:imgLayer r:embed="rId32">
                              <a14:imgEffect>
                                <a14:sharpenSoften amount="50000"/>
                              </a14:imgEffect>
                            </a14:imgLayer>
                          </a14:imgProps>
                        </a:ext>
                      </a:extLst>
                    </a:blip>
                    <a:srcRect l="1358" t="244" r="583" b="1439"/>
                    <a:stretch/>
                  </pic:blipFill>
                  <pic:spPr bwMode="auto">
                    <a:xfrm>
                      <a:off x="0" y="0"/>
                      <a:ext cx="5128260" cy="3078480"/>
                    </a:xfrm>
                    <a:prstGeom prst="rect">
                      <a:avLst/>
                    </a:prstGeom>
                    <a:ln w="381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6BFCEFBC" w14:textId="77777777" w:rsidR="00DE3C06" w:rsidRPr="000C5171" w:rsidRDefault="00DE3C06" w:rsidP="00DE3C06">
      <w:pPr>
        <w:spacing w:line="276" w:lineRule="auto"/>
        <w:jc w:val="center"/>
        <w:rPr>
          <w:rFonts w:eastAsia="Arial" w:cs="Tahoma"/>
          <w:sz w:val="22"/>
          <w:szCs w:val="22"/>
          <w:lang w:val="es-MX"/>
        </w:rPr>
      </w:pPr>
      <w:r w:rsidRPr="000C5171">
        <w:rPr>
          <w:rFonts w:eastAsia="Arial" w:cs="Tahoma"/>
          <w:sz w:val="22"/>
          <w:szCs w:val="22"/>
          <w:lang w:val="es-MX"/>
        </w:rPr>
        <w:t>Fuente: Elaboración propia.</w:t>
      </w:r>
    </w:p>
    <w:p w14:paraId="6185F9CE" w14:textId="77777777" w:rsidR="00DE3C06" w:rsidRPr="000C5171" w:rsidRDefault="00DE3C06" w:rsidP="00DE3C06">
      <w:pPr>
        <w:spacing w:line="276" w:lineRule="auto"/>
        <w:jc w:val="center"/>
        <w:rPr>
          <w:rFonts w:eastAsia="Arial" w:cs="Tahoma"/>
          <w:sz w:val="22"/>
          <w:szCs w:val="22"/>
        </w:rPr>
      </w:pPr>
    </w:p>
    <w:p w14:paraId="6BCD2D13" w14:textId="77777777" w:rsidR="00DE3C06" w:rsidRPr="000C5171" w:rsidRDefault="00DE3C06" w:rsidP="00DE3C06">
      <w:pPr>
        <w:spacing w:line="276" w:lineRule="auto"/>
        <w:jc w:val="both"/>
        <w:rPr>
          <w:rFonts w:eastAsia="Arial" w:cs="Tahoma"/>
          <w:sz w:val="22"/>
          <w:szCs w:val="22"/>
        </w:rPr>
      </w:pPr>
      <w:r w:rsidRPr="000C5171">
        <w:rPr>
          <w:rFonts w:eastAsia="Arial" w:cs="Tahoma"/>
          <w:sz w:val="22"/>
          <w:szCs w:val="22"/>
        </w:rPr>
        <w:t xml:space="preserve">En el componente de nube, ArcGIS Online a través de la </w:t>
      </w:r>
      <w:proofErr w:type="spellStart"/>
      <w:r w:rsidRPr="000C5171">
        <w:rPr>
          <w:rFonts w:eastAsia="Arial" w:cs="Tahoma"/>
          <w:sz w:val="22"/>
          <w:szCs w:val="22"/>
        </w:rPr>
        <w:t>url</w:t>
      </w:r>
      <w:proofErr w:type="spellEnd"/>
      <w:r w:rsidRPr="000C5171">
        <w:rPr>
          <w:rFonts w:eastAsia="Arial" w:cs="Tahoma"/>
          <w:sz w:val="22"/>
          <w:szCs w:val="22"/>
        </w:rPr>
        <w:t xml:space="preserve"> </w:t>
      </w:r>
      <w:hyperlink r:id="rId33" w:anchor="overview" w:history="1">
        <w:r w:rsidRPr="000C5171">
          <w:rPr>
            <w:rStyle w:val="Hipervnculo"/>
            <w:rFonts w:eastAsia="Arial" w:cs="Tahoma"/>
            <w:color w:val="auto"/>
            <w:sz w:val="22"/>
            <w:szCs w:val="22"/>
          </w:rPr>
          <w:t>https://art.maps.arcgis.com/home/organization.html#overview</w:t>
        </w:r>
      </w:hyperlink>
      <w:r w:rsidRPr="000C5171">
        <w:rPr>
          <w:rFonts w:eastAsia="Arial" w:cs="Tahoma"/>
          <w:b/>
          <w:bCs/>
          <w:sz w:val="22"/>
          <w:szCs w:val="22"/>
        </w:rPr>
        <w:t xml:space="preserve"> </w:t>
      </w:r>
      <w:r w:rsidRPr="000C5171">
        <w:rPr>
          <w:rFonts w:eastAsia="Arial" w:cs="Tahoma"/>
          <w:sz w:val="22"/>
          <w:szCs w:val="22"/>
        </w:rPr>
        <w:t xml:space="preserve">constituye el entorno principal para la publicación de visores, mapas web, aplicaciones y contenido geográfico destinado a consumo institucional. La suscripción activa dispone de </w:t>
      </w:r>
      <w:r w:rsidRPr="000C5171">
        <w:rPr>
          <w:rStyle w:val="Textoennegrita"/>
          <w:rFonts w:eastAsia="Arial" w:cs="Tahoma"/>
          <w:sz w:val="22"/>
          <w:szCs w:val="22"/>
        </w:rPr>
        <w:t>30.472 créditos</w:t>
      </w:r>
      <w:r w:rsidRPr="000C5171">
        <w:rPr>
          <w:rFonts w:eastAsia="Arial" w:cs="Tahoma"/>
          <w:sz w:val="22"/>
          <w:szCs w:val="22"/>
        </w:rPr>
        <w:t xml:space="preserve">, con un uso inferior al 2% en almacenamiento, y maneja actualmente </w:t>
      </w:r>
      <w:r w:rsidRPr="000C5171">
        <w:rPr>
          <w:rStyle w:val="Textoennegrita"/>
          <w:rFonts w:eastAsia="Arial" w:cs="Tahoma"/>
          <w:sz w:val="22"/>
          <w:szCs w:val="22"/>
        </w:rPr>
        <w:t>68 usuarios</w:t>
      </w:r>
      <w:r w:rsidRPr="000C5171">
        <w:rPr>
          <w:rFonts w:eastAsia="Arial" w:cs="Tahoma"/>
          <w:sz w:val="22"/>
          <w:szCs w:val="22"/>
        </w:rPr>
        <w:t xml:space="preserve">, de los cuales 20 corresponden al tipo </w:t>
      </w:r>
      <w:proofErr w:type="spellStart"/>
      <w:r w:rsidRPr="000C5171">
        <w:rPr>
          <w:rFonts w:eastAsia="Arial" w:cs="Tahoma"/>
          <w:sz w:val="22"/>
          <w:szCs w:val="22"/>
        </w:rPr>
        <w:t>Creator</w:t>
      </w:r>
      <w:proofErr w:type="spellEnd"/>
      <w:r w:rsidRPr="000C5171">
        <w:rPr>
          <w:rFonts w:eastAsia="Arial" w:cs="Tahoma"/>
          <w:sz w:val="22"/>
          <w:szCs w:val="22"/>
        </w:rPr>
        <w:t xml:space="preserve"> y 2 al tipo Mobile Worker. El entorno cuenta con licencias complementarias como ArcGIS Pro </w:t>
      </w:r>
      <w:proofErr w:type="spellStart"/>
      <w:r w:rsidRPr="000C5171">
        <w:rPr>
          <w:rFonts w:eastAsia="Arial" w:cs="Tahoma"/>
          <w:sz w:val="22"/>
          <w:szCs w:val="22"/>
        </w:rPr>
        <w:t>Advanced</w:t>
      </w:r>
      <w:proofErr w:type="spellEnd"/>
      <w:r w:rsidRPr="000C5171">
        <w:rPr>
          <w:rFonts w:eastAsia="Arial" w:cs="Tahoma"/>
          <w:sz w:val="22"/>
          <w:szCs w:val="22"/>
        </w:rPr>
        <w:t xml:space="preserve">, </w:t>
      </w:r>
      <w:proofErr w:type="spellStart"/>
      <w:r w:rsidRPr="000C5171">
        <w:rPr>
          <w:rFonts w:eastAsia="Arial" w:cs="Tahoma"/>
          <w:sz w:val="22"/>
          <w:szCs w:val="22"/>
        </w:rPr>
        <w:t>Spatial</w:t>
      </w:r>
      <w:proofErr w:type="spellEnd"/>
      <w:r w:rsidRPr="000C5171">
        <w:rPr>
          <w:rFonts w:eastAsia="Arial" w:cs="Tahoma"/>
          <w:sz w:val="22"/>
          <w:szCs w:val="22"/>
        </w:rPr>
        <w:t xml:space="preserve"> </w:t>
      </w:r>
      <w:proofErr w:type="spellStart"/>
      <w:r w:rsidRPr="000C5171">
        <w:rPr>
          <w:rFonts w:eastAsia="Arial" w:cs="Tahoma"/>
          <w:sz w:val="22"/>
          <w:szCs w:val="22"/>
        </w:rPr>
        <w:t>Analyst</w:t>
      </w:r>
      <w:proofErr w:type="spellEnd"/>
      <w:r w:rsidRPr="000C5171">
        <w:rPr>
          <w:rFonts w:eastAsia="Arial" w:cs="Tahoma"/>
          <w:sz w:val="22"/>
          <w:szCs w:val="22"/>
        </w:rPr>
        <w:t xml:space="preserve">, 3D </w:t>
      </w:r>
      <w:proofErr w:type="spellStart"/>
      <w:r w:rsidRPr="000C5171">
        <w:rPr>
          <w:rFonts w:eastAsia="Arial" w:cs="Tahoma"/>
          <w:sz w:val="22"/>
          <w:szCs w:val="22"/>
        </w:rPr>
        <w:t>Analyst</w:t>
      </w:r>
      <w:proofErr w:type="spellEnd"/>
      <w:r w:rsidRPr="000C5171">
        <w:rPr>
          <w:rFonts w:eastAsia="Arial" w:cs="Tahoma"/>
          <w:sz w:val="22"/>
          <w:szCs w:val="22"/>
        </w:rPr>
        <w:t xml:space="preserve">, Network </w:t>
      </w:r>
      <w:proofErr w:type="spellStart"/>
      <w:r w:rsidRPr="000C5171">
        <w:rPr>
          <w:rFonts w:eastAsia="Arial" w:cs="Tahoma"/>
          <w:sz w:val="22"/>
          <w:szCs w:val="22"/>
        </w:rPr>
        <w:t>Analyst</w:t>
      </w:r>
      <w:proofErr w:type="spellEnd"/>
      <w:r w:rsidRPr="000C5171">
        <w:rPr>
          <w:rFonts w:eastAsia="Arial" w:cs="Tahoma"/>
          <w:sz w:val="22"/>
          <w:szCs w:val="22"/>
        </w:rPr>
        <w:t xml:space="preserve"> y otras extensiones, lo que habilita capacidades de análisis avanzado, producción cartográfica y automatización mediante notebooks. Este ecosistema ha servido como plataforma de colaboración interna </w:t>
      </w:r>
      <w:r w:rsidRPr="000C5171">
        <w:rPr>
          <w:rFonts w:eastAsia="Arial" w:cs="Tahoma"/>
          <w:sz w:val="22"/>
          <w:szCs w:val="22"/>
        </w:rPr>
        <w:lastRenderedPageBreak/>
        <w:t>entre sedes y equipos técnicos, permitiendo la consolidación de productos geográficos del período 2022–actual.</w:t>
      </w:r>
    </w:p>
    <w:p w14:paraId="3947188E" w14:textId="77777777" w:rsidR="00DE3C06" w:rsidRDefault="00DE3C06" w:rsidP="00DE3C06">
      <w:pPr>
        <w:spacing w:after="200" w:line="276" w:lineRule="auto"/>
        <w:jc w:val="center"/>
        <w:rPr>
          <w:rFonts w:eastAsia="Arial" w:cs="Tahoma"/>
          <w:b/>
          <w:bCs/>
          <w:sz w:val="22"/>
          <w:szCs w:val="22"/>
        </w:rPr>
      </w:pPr>
    </w:p>
    <w:p w14:paraId="7785D3BA" w14:textId="77777777" w:rsidR="00DE3C06" w:rsidRDefault="00DE3C06" w:rsidP="00DE3C06">
      <w:pPr>
        <w:spacing w:after="200" w:line="276" w:lineRule="auto"/>
        <w:jc w:val="center"/>
        <w:rPr>
          <w:rFonts w:eastAsia="Arial" w:cs="Tahoma"/>
          <w:b/>
          <w:bCs/>
          <w:sz w:val="22"/>
          <w:szCs w:val="22"/>
        </w:rPr>
      </w:pPr>
    </w:p>
    <w:p w14:paraId="64188619" w14:textId="77777777" w:rsidR="00DE3C06" w:rsidRPr="000C5171" w:rsidRDefault="00DE3C06" w:rsidP="00DE3C06">
      <w:pPr>
        <w:spacing w:after="200" w:line="276" w:lineRule="auto"/>
        <w:jc w:val="center"/>
        <w:rPr>
          <w:rFonts w:eastAsia="Arial" w:cs="Tahoma"/>
          <w:i/>
          <w:iCs/>
          <w:sz w:val="22"/>
          <w:szCs w:val="22"/>
        </w:rPr>
      </w:pPr>
      <w:r w:rsidRPr="000C5171">
        <w:rPr>
          <w:rFonts w:eastAsia="Arial" w:cs="Tahoma"/>
          <w:b/>
          <w:bCs/>
          <w:sz w:val="22"/>
          <w:szCs w:val="22"/>
        </w:rPr>
        <w:t>Gráfica 10. ArcGIS Online.</w:t>
      </w:r>
    </w:p>
    <w:p w14:paraId="1BDD4CEB" w14:textId="77777777" w:rsidR="00DE3C06" w:rsidRPr="000C5171" w:rsidRDefault="00DE3C06" w:rsidP="00DE3C06">
      <w:pPr>
        <w:keepNext/>
        <w:spacing w:line="276" w:lineRule="auto"/>
        <w:jc w:val="center"/>
        <w:rPr>
          <w:rFonts w:eastAsia="Arial" w:cs="Tahoma"/>
          <w:sz w:val="22"/>
          <w:szCs w:val="22"/>
        </w:rPr>
      </w:pPr>
      <w:r w:rsidRPr="000C5171">
        <w:rPr>
          <w:noProof/>
        </w:rPr>
        <w:drawing>
          <wp:inline distT="0" distB="0" distL="0" distR="0" wp14:anchorId="59B17573" wp14:editId="07F3981E">
            <wp:extent cx="4061460" cy="2713990"/>
            <wp:effectExtent l="0" t="0" r="0" b="0"/>
            <wp:docPr id="956321306" name="Imagen 2"/>
            <wp:cNvGraphicFramePr/>
            <a:graphic xmlns:a="http://schemas.openxmlformats.org/drawingml/2006/main">
              <a:graphicData uri="http://schemas.openxmlformats.org/drawingml/2006/picture">
                <pic:pic xmlns:pic="http://schemas.openxmlformats.org/drawingml/2006/picture">
                  <pic:nvPicPr>
                    <pic:cNvPr id="956321306" name="Imagen 2"/>
                    <pic:cNvPicPr/>
                  </pic:nvPicPr>
                  <pic:blipFill>
                    <a:blip r:embed="rId34">
                      <a:extLst>
                        <a:ext uri="{BEBA8EAE-BF5A-486C-A8C5-ECC9F3942E4B}">
                          <a14:imgProps xmlns:a14="http://schemas.microsoft.com/office/drawing/2010/main">
                            <a14:imgLayer r:embed="rId3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061460" cy="2713990"/>
                    </a:xfrm>
                    <a:prstGeom prst="rect">
                      <a:avLst/>
                    </a:prstGeom>
                    <a:noFill/>
                    <a:ln>
                      <a:noFill/>
                    </a:ln>
                  </pic:spPr>
                </pic:pic>
              </a:graphicData>
            </a:graphic>
          </wp:inline>
        </w:drawing>
      </w:r>
    </w:p>
    <w:p w14:paraId="13DC9310" w14:textId="77777777" w:rsidR="00DE3C06" w:rsidRPr="000C5171" w:rsidRDefault="00DE3C06" w:rsidP="00DE3C06">
      <w:pPr>
        <w:spacing w:line="276" w:lineRule="auto"/>
        <w:jc w:val="center"/>
        <w:rPr>
          <w:rFonts w:eastAsia="Arial" w:cs="Tahoma"/>
          <w:sz w:val="22"/>
          <w:szCs w:val="22"/>
        </w:rPr>
      </w:pPr>
      <w:r w:rsidRPr="000C5171">
        <w:rPr>
          <w:rFonts w:eastAsia="Arial" w:cs="Tahoma"/>
          <w:sz w:val="22"/>
          <w:szCs w:val="22"/>
          <w:lang w:val="es-MX"/>
        </w:rPr>
        <w:t>Fuente: Elaboración propia.</w:t>
      </w:r>
    </w:p>
    <w:p w14:paraId="10028F6D" w14:textId="77777777" w:rsidR="00DE3C06" w:rsidRPr="000C5171" w:rsidRDefault="00DE3C06" w:rsidP="00DE3C06">
      <w:pPr>
        <w:spacing w:line="276" w:lineRule="auto"/>
        <w:jc w:val="both"/>
        <w:rPr>
          <w:rFonts w:eastAsia="Arial" w:cs="Tahoma"/>
          <w:sz w:val="22"/>
          <w:szCs w:val="22"/>
        </w:rPr>
      </w:pPr>
      <w:r w:rsidRPr="000C5171">
        <w:rPr>
          <w:rFonts w:eastAsia="Arial" w:cs="Tahoma"/>
          <w:sz w:val="22"/>
          <w:szCs w:val="22"/>
        </w:rPr>
        <w:t xml:space="preserve">En cuanto al componente local, el </w:t>
      </w:r>
      <w:r w:rsidRPr="000C5171">
        <w:rPr>
          <w:rStyle w:val="Textoennegrita"/>
          <w:rFonts w:eastAsia="Arial" w:cs="Tahoma"/>
          <w:sz w:val="22"/>
          <w:szCs w:val="22"/>
        </w:rPr>
        <w:t>Portal ArcGIS Enterprise GISART</w:t>
      </w:r>
      <w:r w:rsidRPr="000C5171">
        <w:rPr>
          <w:rFonts w:eastAsia="Arial" w:cs="Tahoma"/>
          <w:sz w:val="22"/>
          <w:szCs w:val="22"/>
        </w:rPr>
        <w:t xml:space="preserve"> a través de la </w:t>
      </w:r>
      <w:proofErr w:type="spellStart"/>
      <w:r w:rsidRPr="000C5171">
        <w:rPr>
          <w:rFonts w:eastAsia="Arial" w:cs="Tahoma"/>
          <w:sz w:val="22"/>
          <w:szCs w:val="22"/>
        </w:rPr>
        <w:t>url</w:t>
      </w:r>
      <w:proofErr w:type="spellEnd"/>
      <w:r w:rsidRPr="000C5171">
        <w:rPr>
          <w:rFonts w:eastAsia="Arial" w:cs="Tahoma"/>
          <w:sz w:val="22"/>
          <w:szCs w:val="22"/>
        </w:rPr>
        <w:t xml:space="preserve"> </w:t>
      </w:r>
      <w:hyperlink r:id="rId36" w:history="1">
        <w:r w:rsidRPr="000C5171">
          <w:rPr>
            <w:rStyle w:val="Hipervnculo"/>
            <w:rFonts w:eastAsia="Arial" w:cs="Tahoma"/>
            <w:color w:val="auto"/>
            <w:sz w:val="22"/>
            <w:szCs w:val="22"/>
          </w:rPr>
          <w:t>https://gisart.renovacionterritorio.gov.co/portal/home/organization.html</w:t>
        </w:r>
      </w:hyperlink>
      <w:r w:rsidRPr="000C5171">
        <w:rPr>
          <w:rFonts w:eastAsia="Arial" w:cs="Tahoma"/>
          <w:sz w:val="22"/>
          <w:szCs w:val="22"/>
        </w:rPr>
        <w:t xml:space="preserve"> opera como el entorno institucional seguro para la gestión y publicación de servicios críticos. Este portal cuenta con </w:t>
      </w:r>
      <w:r w:rsidRPr="000C5171">
        <w:rPr>
          <w:rStyle w:val="Textoennegrita"/>
          <w:rFonts w:eastAsia="Arial" w:cs="Tahoma"/>
          <w:sz w:val="22"/>
          <w:szCs w:val="22"/>
        </w:rPr>
        <w:t>60 usuarios activos de 85</w:t>
      </w:r>
      <w:r w:rsidRPr="000C5171">
        <w:rPr>
          <w:rFonts w:eastAsia="Arial" w:cs="Tahoma"/>
          <w:sz w:val="22"/>
          <w:szCs w:val="22"/>
        </w:rPr>
        <w:t xml:space="preserve">, distribuidos en tipos </w:t>
      </w:r>
      <w:proofErr w:type="spellStart"/>
      <w:r w:rsidRPr="000C5171">
        <w:rPr>
          <w:rFonts w:eastAsia="Arial" w:cs="Tahoma"/>
          <w:sz w:val="22"/>
          <w:szCs w:val="22"/>
        </w:rPr>
        <w:t>Creator</w:t>
      </w:r>
      <w:proofErr w:type="spellEnd"/>
      <w:r w:rsidRPr="000C5171">
        <w:rPr>
          <w:rFonts w:eastAsia="Arial" w:cs="Tahoma"/>
          <w:sz w:val="22"/>
          <w:szCs w:val="22"/>
        </w:rPr>
        <w:t xml:space="preserve"> y Mobile </w:t>
      </w:r>
      <w:proofErr w:type="spellStart"/>
      <w:r w:rsidRPr="000C5171">
        <w:rPr>
          <w:rFonts w:eastAsia="Arial" w:cs="Tahoma"/>
          <w:sz w:val="22"/>
          <w:szCs w:val="22"/>
        </w:rPr>
        <w:t>Worker</w:t>
      </w:r>
      <w:proofErr w:type="spellEnd"/>
      <w:r w:rsidRPr="000C5171">
        <w:rPr>
          <w:rFonts w:eastAsia="Arial" w:cs="Tahoma"/>
          <w:sz w:val="22"/>
          <w:szCs w:val="22"/>
        </w:rPr>
        <w:t xml:space="preserve">, y dispone de licenciamiento propio para ArcGIS Pro </w:t>
      </w:r>
      <w:proofErr w:type="spellStart"/>
      <w:r w:rsidRPr="000C5171">
        <w:rPr>
          <w:rFonts w:eastAsia="Arial" w:cs="Tahoma"/>
          <w:sz w:val="22"/>
          <w:szCs w:val="22"/>
        </w:rPr>
        <w:t>Advanced</w:t>
      </w:r>
      <w:proofErr w:type="spellEnd"/>
      <w:r w:rsidRPr="000C5171">
        <w:rPr>
          <w:rFonts w:eastAsia="Arial" w:cs="Tahoma"/>
          <w:sz w:val="22"/>
          <w:szCs w:val="22"/>
        </w:rPr>
        <w:t xml:space="preserve">, ArcGIS </w:t>
      </w:r>
      <w:proofErr w:type="spellStart"/>
      <w:r w:rsidRPr="000C5171">
        <w:rPr>
          <w:rFonts w:eastAsia="Arial" w:cs="Tahoma"/>
          <w:sz w:val="22"/>
          <w:szCs w:val="22"/>
        </w:rPr>
        <w:t>Insights</w:t>
      </w:r>
      <w:proofErr w:type="spellEnd"/>
      <w:r w:rsidRPr="000C5171">
        <w:rPr>
          <w:rFonts w:eastAsia="Arial" w:cs="Tahoma"/>
          <w:sz w:val="22"/>
          <w:szCs w:val="22"/>
        </w:rPr>
        <w:t xml:space="preserve"> y múltiples extensiones de análisis especializadas. La arquitectura está soportada por servidores dedicados (Jupiter, Lisa y Guadalupe) configurados como ArcGIS Server y Portal federado, además de bases de datos empresariales SGIGISART_1, SGIGISART_2 y SGIGISART_3, y un </w:t>
      </w:r>
      <w:proofErr w:type="spellStart"/>
      <w:r w:rsidRPr="000C5171">
        <w:rPr>
          <w:rFonts w:eastAsia="Arial" w:cs="Tahoma"/>
          <w:sz w:val="22"/>
          <w:szCs w:val="22"/>
        </w:rPr>
        <w:t>DataStore</w:t>
      </w:r>
      <w:proofErr w:type="spellEnd"/>
      <w:r w:rsidRPr="000C5171">
        <w:rPr>
          <w:rFonts w:eastAsia="Arial" w:cs="Tahoma"/>
          <w:sz w:val="22"/>
          <w:szCs w:val="22"/>
        </w:rPr>
        <w:t xml:space="preserve"> central encargado de la persistencia de servicios alojados. Este esquema robusto garantiza la operación continua, la seguridad de la información y la capacidad de desplegar servicios REST para aplicaciones internas y externas.</w:t>
      </w:r>
    </w:p>
    <w:p w14:paraId="4D450E6E" w14:textId="77777777" w:rsidR="00DE3C06" w:rsidRPr="000C5171" w:rsidRDefault="00DE3C06" w:rsidP="00DE3C06">
      <w:pPr>
        <w:spacing w:line="276" w:lineRule="auto"/>
        <w:jc w:val="both"/>
        <w:rPr>
          <w:rFonts w:eastAsia="Arial" w:cs="Tahoma"/>
          <w:sz w:val="22"/>
          <w:szCs w:val="22"/>
        </w:rPr>
      </w:pPr>
      <w:r w:rsidRPr="000C5171">
        <w:rPr>
          <w:rFonts w:eastAsia="Arial" w:cs="Tahoma"/>
          <w:sz w:val="22"/>
          <w:szCs w:val="22"/>
          <w:lang w:val="es-MX"/>
        </w:rPr>
        <w:t xml:space="preserve">La conformación del SIG también incluye el componente de administración de licencias, repositorios de contenido organizacional, monitoreo de actividad y gobernanza del dato geográfico. Ambas plataformas (AGOL y Portal) cuentan con herramientas de auditoría como el cuadro de mando, que permiten identificar el uso de contenido, actividad de miembros, </w:t>
      </w:r>
      <w:r w:rsidRPr="000C5171">
        <w:rPr>
          <w:rFonts w:eastAsia="Arial" w:cs="Tahoma"/>
          <w:sz w:val="22"/>
          <w:szCs w:val="22"/>
          <w:lang w:val="es-MX"/>
        </w:rPr>
        <w:lastRenderedPageBreak/>
        <w:t xml:space="preserve">consumo de recursos y desempeño operativo. Adicionalmente, el SIG se articula con herramientas de escritorio como ArcGIS Pro y ArcMap mediante el </w:t>
      </w:r>
      <w:proofErr w:type="spellStart"/>
      <w:r w:rsidRPr="000C5171">
        <w:rPr>
          <w:rFonts w:eastAsia="Arial" w:cs="Tahoma"/>
          <w:sz w:val="22"/>
          <w:szCs w:val="22"/>
          <w:lang w:val="es-MX"/>
        </w:rPr>
        <w:t>License</w:t>
      </w:r>
      <w:proofErr w:type="spellEnd"/>
      <w:r w:rsidRPr="000C5171">
        <w:rPr>
          <w:rFonts w:eastAsia="Arial" w:cs="Tahoma"/>
          <w:sz w:val="22"/>
          <w:szCs w:val="22"/>
          <w:lang w:val="es-MX"/>
        </w:rPr>
        <w:t xml:space="preserve"> Manager institucional, asegurando que el personal técnico pueda producir insumos geográficos de alta calidad.</w:t>
      </w:r>
    </w:p>
    <w:p w14:paraId="6D4776E3" w14:textId="77777777" w:rsidR="00DE3C06" w:rsidRPr="000C5171" w:rsidRDefault="00DE3C06" w:rsidP="00DE3C06">
      <w:pPr>
        <w:spacing w:line="276" w:lineRule="auto"/>
        <w:jc w:val="both"/>
        <w:rPr>
          <w:rFonts w:eastAsia="Arial" w:cs="Tahoma"/>
          <w:sz w:val="22"/>
          <w:szCs w:val="22"/>
        </w:rPr>
      </w:pPr>
      <w:r w:rsidRPr="000C5171">
        <w:rPr>
          <w:rFonts w:eastAsia="Arial" w:cs="Tahoma"/>
          <w:sz w:val="22"/>
          <w:szCs w:val="22"/>
          <w:lang w:val="es-MX"/>
        </w:rPr>
        <w:t xml:space="preserve">Gracias a la disponibilidad de herramientas de licenciamiento y gestión del sistema de información geográfica (SIG), la ART ha contado con el respaldo tecnológico que han apoyado diferentes tareas, entre las cuales se destaca las siguientes: </w:t>
      </w:r>
    </w:p>
    <w:p w14:paraId="69A8D601" w14:textId="77777777" w:rsidR="00DE3C06" w:rsidRPr="000C5171" w:rsidRDefault="00DE3C06">
      <w:pPr>
        <w:pStyle w:val="Prrafodelista"/>
        <w:numPr>
          <w:ilvl w:val="0"/>
          <w:numId w:val="10"/>
        </w:numPr>
        <w:spacing w:line="276" w:lineRule="auto"/>
        <w:jc w:val="both"/>
        <w:rPr>
          <w:rFonts w:eastAsia="Arial" w:cs="Tahoma"/>
          <w:sz w:val="22"/>
          <w:szCs w:val="22"/>
        </w:rPr>
      </w:pPr>
      <w:r w:rsidRPr="000C5171">
        <w:rPr>
          <w:rFonts w:eastAsia="Arial" w:cs="Tahoma"/>
          <w:sz w:val="22"/>
          <w:szCs w:val="22"/>
          <w:lang w:val="es-MX"/>
        </w:rPr>
        <w:t xml:space="preserve">La operación de revisión y actualización de los PATR, permitiendo la captura, gestión y almacenamiento de datos y sus atributos, y optimizando la administración de los flujos de trabajo relacionados con información espacial. </w:t>
      </w:r>
    </w:p>
    <w:p w14:paraId="0D26C1CD" w14:textId="77777777" w:rsidR="00DE3C06" w:rsidRPr="000C5171" w:rsidRDefault="00DE3C06">
      <w:pPr>
        <w:pStyle w:val="Prrafodelista"/>
        <w:numPr>
          <w:ilvl w:val="0"/>
          <w:numId w:val="10"/>
        </w:numPr>
        <w:spacing w:line="276" w:lineRule="auto"/>
        <w:jc w:val="both"/>
        <w:rPr>
          <w:rFonts w:eastAsia="Arial" w:cs="Tahoma"/>
          <w:sz w:val="22"/>
          <w:szCs w:val="22"/>
        </w:rPr>
      </w:pPr>
      <w:r w:rsidRPr="000C5171">
        <w:rPr>
          <w:rFonts w:eastAsia="Arial" w:cs="Tahoma"/>
          <w:sz w:val="22"/>
          <w:szCs w:val="22"/>
          <w:lang w:val="es-MX"/>
        </w:rPr>
        <w:t>La implementación de patrones de uso enfocados en la visualización de datos, como tableros de control y cruces espaciales, mejorando la integración de datos espaciales, estadísticos y atributos, lo que ha contribuido a la generación de respuestas precisas y oportunas.</w:t>
      </w:r>
    </w:p>
    <w:p w14:paraId="22E59C5B" w14:textId="77777777" w:rsidR="00DE3C06" w:rsidRPr="000C5171" w:rsidRDefault="00DE3C06">
      <w:pPr>
        <w:pStyle w:val="Prrafodelista"/>
        <w:numPr>
          <w:ilvl w:val="0"/>
          <w:numId w:val="10"/>
        </w:numPr>
        <w:spacing w:line="276" w:lineRule="auto"/>
        <w:jc w:val="both"/>
        <w:rPr>
          <w:rFonts w:eastAsia="Arial" w:cs="Tahoma"/>
          <w:sz w:val="22"/>
          <w:szCs w:val="22"/>
        </w:rPr>
      </w:pPr>
      <w:r w:rsidRPr="000C5171">
        <w:rPr>
          <w:rFonts w:eastAsia="Arial" w:cs="Tahoma"/>
          <w:sz w:val="22"/>
          <w:szCs w:val="22"/>
          <w:lang w:val="es-MX"/>
        </w:rPr>
        <w:t xml:space="preserve">Fortalecimiento operativo del Sistema de Información PDET, consolidando nuevas capacidades para la captura, procesamiento y disposición de información territorial. </w:t>
      </w:r>
    </w:p>
    <w:p w14:paraId="5DAC2274" w14:textId="77777777" w:rsidR="00DE3C06" w:rsidRPr="000C5171" w:rsidRDefault="00DE3C06" w:rsidP="00DE3C06">
      <w:pPr>
        <w:spacing w:line="276" w:lineRule="auto"/>
        <w:jc w:val="both"/>
        <w:rPr>
          <w:rFonts w:eastAsia="Arial" w:cs="Tahoma"/>
          <w:sz w:val="22"/>
          <w:szCs w:val="22"/>
        </w:rPr>
      </w:pPr>
      <w:r w:rsidRPr="000C5171">
        <w:rPr>
          <w:rFonts w:eastAsia="Arial" w:cs="Tahoma"/>
          <w:sz w:val="22"/>
          <w:szCs w:val="22"/>
          <w:lang w:val="es-MX"/>
        </w:rPr>
        <w:t xml:space="preserve">Para asegurar el mejor funcionamiento del SIG y su disponibilidad, en las últimas vigencias se han adelantado múltiples acciones, entre las cuales se destacan las siguientes como las de mayor relevancia:   </w:t>
      </w:r>
    </w:p>
    <w:p w14:paraId="2FB29C5A" w14:textId="77777777" w:rsidR="00DE3C06" w:rsidRPr="000C5171" w:rsidRDefault="00DE3C06">
      <w:pPr>
        <w:pStyle w:val="Prrafodelista"/>
        <w:numPr>
          <w:ilvl w:val="0"/>
          <w:numId w:val="11"/>
        </w:numPr>
        <w:spacing w:line="276" w:lineRule="auto"/>
        <w:jc w:val="both"/>
        <w:rPr>
          <w:rFonts w:eastAsia="Arial" w:cs="Tahoma"/>
          <w:sz w:val="22"/>
          <w:szCs w:val="22"/>
        </w:rPr>
      </w:pPr>
      <w:r w:rsidRPr="000C5171">
        <w:rPr>
          <w:rFonts w:eastAsia="Arial" w:cs="Tahoma"/>
          <w:sz w:val="22"/>
          <w:szCs w:val="22"/>
          <w:lang w:val="es-MX"/>
        </w:rPr>
        <w:t xml:space="preserve">Actualización documental de los procesos y procedimientos para la gestión de la información geográfica, lo cual contribuye a la estandarización y el aseguramiento de la calidad de los datos en el sistema. </w:t>
      </w:r>
    </w:p>
    <w:p w14:paraId="7224E4DC" w14:textId="77777777" w:rsidR="00DE3C06" w:rsidRPr="000C5171" w:rsidRDefault="00DE3C06">
      <w:pPr>
        <w:pStyle w:val="Prrafodelista"/>
        <w:numPr>
          <w:ilvl w:val="0"/>
          <w:numId w:val="11"/>
        </w:numPr>
        <w:spacing w:line="276" w:lineRule="auto"/>
        <w:jc w:val="both"/>
        <w:rPr>
          <w:rFonts w:eastAsia="Arial" w:cs="Tahoma"/>
          <w:sz w:val="22"/>
          <w:szCs w:val="22"/>
        </w:rPr>
      </w:pPr>
      <w:r w:rsidRPr="000C5171">
        <w:rPr>
          <w:rFonts w:eastAsia="Arial" w:cs="Tahoma"/>
          <w:sz w:val="22"/>
          <w:szCs w:val="22"/>
          <w:lang w:val="es-MX"/>
        </w:rPr>
        <w:t xml:space="preserve">Actualización integral del visor geográfico institucional, reemplazando versiones previas y habilitando nuevas funcionalidades orientadas a mejorar la velocidad de consulta, la interacción con los </w:t>
      </w:r>
      <w:proofErr w:type="spellStart"/>
      <w:r w:rsidRPr="000C5171">
        <w:rPr>
          <w:rFonts w:eastAsia="Arial" w:cs="Tahoma"/>
          <w:sz w:val="22"/>
          <w:szCs w:val="22"/>
          <w:lang w:val="es-MX"/>
        </w:rPr>
        <w:t>datasets</w:t>
      </w:r>
      <w:proofErr w:type="spellEnd"/>
      <w:r w:rsidRPr="000C5171">
        <w:rPr>
          <w:rFonts w:eastAsia="Arial" w:cs="Tahoma"/>
          <w:sz w:val="22"/>
          <w:szCs w:val="22"/>
          <w:lang w:val="es-MX"/>
        </w:rPr>
        <w:t xml:space="preserve"> territoriales y la capacidad analítica de los equipos misionales. Esta modernización permitió optimizar la visualización dinámica de los datos y consolidar un entorno más eficiente, intuitivo y alineado con las necesidades operativas del PDET. </w:t>
      </w:r>
    </w:p>
    <w:p w14:paraId="0C6CC6A8" w14:textId="77777777" w:rsidR="00DE3C06" w:rsidRPr="000C5171" w:rsidRDefault="00DE3C06">
      <w:pPr>
        <w:pStyle w:val="Prrafodelista"/>
        <w:numPr>
          <w:ilvl w:val="0"/>
          <w:numId w:val="11"/>
        </w:numPr>
        <w:spacing w:line="276" w:lineRule="auto"/>
        <w:jc w:val="both"/>
        <w:rPr>
          <w:rFonts w:eastAsia="Arial" w:cs="Tahoma"/>
          <w:sz w:val="22"/>
          <w:szCs w:val="22"/>
        </w:rPr>
      </w:pPr>
      <w:r w:rsidRPr="000C5171">
        <w:rPr>
          <w:rFonts w:eastAsia="Arial" w:cs="Tahoma"/>
          <w:sz w:val="22"/>
          <w:szCs w:val="22"/>
          <w:lang w:val="es-MX"/>
        </w:rPr>
        <w:t>Evaluación integral del sistema, de la cual se obtuvo una perspectiva precisa sobre su funcionamiento actual. A partir del diagnóstico se estableció una ruta de trabajo orientada a mejorar su rendimiento.</w:t>
      </w:r>
    </w:p>
    <w:p w14:paraId="440DE2E3" w14:textId="77777777" w:rsidR="00DE3C06" w:rsidRPr="000C5171" w:rsidRDefault="00DE3C06">
      <w:pPr>
        <w:pStyle w:val="Prrafodelista"/>
        <w:numPr>
          <w:ilvl w:val="0"/>
          <w:numId w:val="11"/>
        </w:numPr>
        <w:spacing w:line="276" w:lineRule="auto"/>
        <w:jc w:val="both"/>
        <w:rPr>
          <w:rFonts w:eastAsia="Arial" w:cs="Tahoma"/>
          <w:sz w:val="22"/>
          <w:szCs w:val="22"/>
        </w:rPr>
      </w:pPr>
      <w:r w:rsidRPr="000C5171">
        <w:rPr>
          <w:rFonts w:eastAsia="Arial" w:cs="Tahoma"/>
          <w:sz w:val="22"/>
          <w:szCs w:val="22"/>
          <w:lang w:val="es-MX"/>
        </w:rPr>
        <w:t xml:space="preserve">Se efectuó el diagnóstico de la </w:t>
      </w:r>
      <w:proofErr w:type="spellStart"/>
      <w:r w:rsidRPr="000C5171">
        <w:rPr>
          <w:rFonts w:eastAsia="Arial" w:cs="Tahoma"/>
          <w:sz w:val="22"/>
          <w:szCs w:val="22"/>
          <w:lang w:val="es-MX"/>
        </w:rPr>
        <w:t>geodatabase</w:t>
      </w:r>
      <w:proofErr w:type="spellEnd"/>
      <w:r w:rsidRPr="000C5171">
        <w:rPr>
          <w:rFonts w:eastAsia="Arial" w:cs="Tahoma"/>
          <w:sz w:val="22"/>
          <w:szCs w:val="22"/>
          <w:lang w:val="es-MX"/>
        </w:rPr>
        <w:t xml:space="preserve"> corporativa mediante la herramienta </w:t>
      </w:r>
      <w:proofErr w:type="spellStart"/>
      <w:r w:rsidRPr="000C5171">
        <w:rPr>
          <w:rFonts w:eastAsia="Arial" w:cs="Tahoma"/>
          <w:sz w:val="22"/>
          <w:szCs w:val="22"/>
          <w:lang w:val="es-MX"/>
        </w:rPr>
        <w:t>egdbhealth</w:t>
      </w:r>
      <w:proofErr w:type="spellEnd"/>
      <w:r w:rsidRPr="000C5171">
        <w:rPr>
          <w:rFonts w:eastAsia="Arial" w:cs="Tahoma"/>
          <w:sz w:val="22"/>
          <w:szCs w:val="22"/>
          <w:lang w:val="es-MX"/>
        </w:rPr>
        <w:t>, como componente del despliegue del Sistema de Información Geográfica de la ART, el cual permitió identificar el estado de salud de la base de datos y definir acciones correctivas para mitigar riesgos de pérdida de información y prevenir un bajo desempeño de la GDB.</w:t>
      </w:r>
    </w:p>
    <w:p w14:paraId="63C5FFB8" w14:textId="77777777" w:rsidR="00DE3C06" w:rsidRPr="000C5171" w:rsidRDefault="00DE3C06" w:rsidP="00DE3C06">
      <w:pPr>
        <w:pStyle w:val="Prrafodelista"/>
        <w:spacing w:line="276" w:lineRule="auto"/>
        <w:jc w:val="both"/>
        <w:rPr>
          <w:rFonts w:eastAsia="Arial" w:cs="Tahoma"/>
          <w:sz w:val="22"/>
          <w:szCs w:val="22"/>
        </w:rPr>
      </w:pPr>
    </w:p>
    <w:p w14:paraId="09D50933" w14:textId="77777777" w:rsidR="00DE3C06" w:rsidRPr="000C5171" w:rsidRDefault="00DE3C06">
      <w:pPr>
        <w:pStyle w:val="Ttulo1"/>
        <w:numPr>
          <w:ilvl w:val="0"/>
          <w:numId w:val="2"/>
        </w:numPr>
        <w:spacing w:line="276" w:lineRule="auto"/>
        <w:rPr>
          <w:rFonts w:cs="Tahoma"/>
        </w:rPr>
      </w:pPr>
      <w:bookmarkStart w:id="62" w:name="_Toc234168121"/>
      <w:r w:rsidRPr="000C5171">
        <w:rPr>
          <w:rFonts w:cs="Tahoma"/>
        </w:rPr>
        <w:t>LISTADO DE ANEXOS</w:t>
      </w:r>
      <w:bookmarkEnd w:id="62"/>
      <w:r w:rsidRPr="000C5171">
        <w:rPr>
          <w:rFonts w:cs="Tahoma"/>
        </w:rPr>
        <w:t xml:space="preserve"> </w:t>
      </w:r>
    </w:p>
    <w:p w14:paraId="4CCEB1E8" w14:textId="77777777" w:rsidR="00DE3C06" w:rsidRPr="000C5171" w:rsidRDefault="00DE3C06" w:rsidP="00DE3C06"/>
    <w:p w14:paraId="308BFCF4" w14:textId="186103AD" w:rsidR="00DE3C06" w:rsidRPr="000C5171" w:rsidRDefault="00DE3C06" w:rsidP="00DE3C06">
      <w:pPr>
        <w:spacing w:line="276" w:lineRule="auto"/>
        <w:rPr>
          <w:sz w:val="22"/>
          <w:szCs w:val="22"/>
        </w:rPr>
      </w:pPr>
      <w:r w:rsidRPr="000C5171">
        <w:rPr>
          <w:sz w:val="22"/>
          <w:szCs w:val="22"/>
        </w:rPr>
        <w:t xml:space="preserve">Para consultar los Archivos, puede ingresar al siguiente </w:t>
      </w:r>
      <w:proofErr w:type="gramStart"/>
      <w:r w:rsidRPr="000C5171">
        <w:rPr>
          <w:sz w:val="22"/>
          <w:szCs w:val="22"/>
        </w:rPr>
        <w:t>link</w:t>
      </w:r>
      <w:proofErr w:type="gramEnd"/>
      <w:r w:rsidR="008A4EEC">
        <w:rPr>
          <w:sz w:val="22"/>
          <w:szCs w:val="22"/>
        </w:rPr>
        <w:t>:</w:t>
      </w:r>
    </w:p>
    <w:p w14:paraId="7AE068CC" w14:textId="443F4160" w:rsidR="008A4EEC" w:rsidRDefault="008A4EEC" w:rsidP="008A4EEC">
      <w:hyperlink r:id="rId37" w:history="1">
        <w:r>
          <w:rPr>
            <w:rStyle w:val="Hipervnculo"/>
          </w:rPr>
          <w:t>Anexos - I</w:t>
        </w:r>
        <w:r>
          <w:rPr>
            <w:rStyle w:val="Hipervnculo"/>
          </w:rPr>
          <w:t>nforme de empalme ART-PDET 2026</w:t>
        </w:r>
      </w:hyperlink>
    </w:p>
    <w:p w14:paraId="4CDD7D31" w14:textId="77777777" w:rsidR="00DE3C06" w:rsidRPr="00DE3C06" w:rsidRDefault="00DE3C06" w:rsidP="00DE3C06">
      <w:pPr>
        <w:spacing w:line="240" w:lineRule="auto"/>
        <w:rPr>
          <w:lang w:val="en-US"/>
        </w:rPr>
      </w:pPr>
    </w:p>
    <w:tbl>
      <w:tblPr>
        <w:tblW w:w="7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40"/>
        <w:gridCol w:w="3780"/>
        <w:gridCol w:w="3118"/>
      </w:tblGrid>
      <w:tr w:rsidR="00DE3C06" w:rsidRPr="001E37D8" w14:paraId="0CB39871" w14:textId="77777777" w:rsidTr="008A49D0">
        <w:trPr>
          <w:trHeight w:val="264"/>
        </w:trPr>
        <w:tc>
          <w:tcPr>
            <w:tcW w:w="4820" w:type="dxa"/>
            <w:gridSpan w:val="2"/>
            <w:vAlign w:val="center"/>
            <w:hideMark/>
          </w:tcPr>
          <w:p w14:paraId="68189B76" w14:textId="77777777" w:rsidR="00DE3C06" w:rsidRPr="001E37D8" w:rsidRDefault="00DE3C06" w:rsidP="008A49D0">
            <w:pPr>
              <w:spacing w:after="0" w:line="240" w:lineRule="auto"/>
              <w:rPr>
                <w:rFonts w:eastAsia="Times New Roman" w:cs="Calibri"/>
                <w:sz w:val="22"/>
                <w:szCs w:val="22"/>
                <w:lang w:eastAsia="es-CO"/>
              </w:rPr>
            </w:pPr>
            <w:r w:rsidRPr="001E37D8">
              <w:rPr>
                <w:rFonts w:eastAsia="Times New Roman" w:cs="Calibri"/>
                <w:sz w:val="22"/>
                <w:szCs w:val="22"/>
                <w:lang w:eastAsia="es-CO"/>
              </w:rPr>
              <w:t>ANEXOS</w:t>
            </w:r>
          </w:p>
        </w:tc>
        <w:tc>
          <w:tcPr>
            <w:tcW w:w="3118" w:type="dxa"/>
            <w:vMerge w:val="restart"/>
            <w:vAlign w:val="center"/>
            <w:hideMark/>
          </w:tcPr>
          <w:p w14:paraId="1310F5D5" w14:textId="77777777" w:rsidR="00DE3C06" w:rsidRPr="001E37D8" w:rsidRDefault="00DE3C06" w:rsidP="008A49D0">
            <w:pPr>
              <w:spacing w:after="0" w:line="240" w:lineRule="auto"/>
              <w:rPr>
                <w:rFonts w:eastAsia="Times New Roman" w:cs="Calibri"/>
                <w:b/>
                <w:bCs/>
                <w:sz w:val="22"/>
                <w:szCs w:val="22"/>
                <w:lang w:eastAsia="es-CO"/>
              </w:rPr>
            </w:pPr>
            <w:r w:rsidRPr="001E37D8">
              <w:rPr>
                <w:rFonts w:eastAsia="Times New Roman" w:cs="Calibri"/>
                <w:b/>
                <w:bCs/>
                <w:sz w:val="22"/>
                <w:szCs w:val="22"/>
                <w:lang w:eastAsia="es-CO"/>
              </w:rPr>
              <w:t>Sección del Informe</w:t>
            </w:r>
          </w:p>
        </w:tc>
      </w:tr>
      <w:tr w:rsidR="00DE3C06" w:rsidRPr="001E37D8" w14:paraId="24F7A3F6" w14:textId="77777777" w:rsidTr="008A49D0">
        <w:trPr>
          <w:trHeight w:val="264"/>
        </w:trPr>
        <w:tc>
          <w:tcPr>
            <w:tcW w:w="1040" w:type="dxa"/>
            <w:vAlign w:val="center"/>
            <w:hideMark/>
          </w:tcPr>
          <w:p w14:paraId="60EBD308" w14:textId="77777777" w:rsidR="00DE3C06" w:rsidRPr="001E37D8" w:rsidRDefault="00DE3C06" w:rsidP="008A49D0">
            <w:pPr>
              <w:spacing w:after="0" w:line="240" w:lineRule="auto"/>
              <w:jc w:val="center"/>
              <w:rPr>
                <w:rFonts w:eastAsia="Times New Roman" w:cs="Calibri"/>
                <w:b/>
                <w:bCs/>
                <w:sz w:val="22"/>
                <w:szCs w:val="22"/>
                <w:lang w:eastAsia="es-CO"/>
              </w:rPr>
            </w:pPr>
            <w:r w:rsidRPr="001E37D8">
              <w:rPr>
                <w:rFonts w:eastAsia="Times New Roman" w:cs="Calibri"/>
                <w:b/>
                <w:bCs/>
                <w:sz w:val="22"/>
                <w:szCs w:val="22"/>
                <w:lang w:eastAsia="es-CO"/>
              </w:rPr>
              <w:t>No.</w:t>
            </w:r>
          </w:p>
        </w:tc>
        <w:tc>
          <w:tcPr>
            <w:tcW w:w="3780" w:type="dxa"/>
            <w:vAlign w:val="center"/>
            <w:hideMark/>
          </w:tcPr>
          <w:p w14:paraId="520BCBA6" w14:textId="77777777" w:rsidR="00DE3C06" w:rsidRPr="001E37D8" w:rsidRDefault="00DE3C06" w:rsidP="008A49D0">
            <w:pPr>
              <w:spacing w:after="0" w:line="240" w:lineRule="auto"/>
              <w:rPr>
                <w:rFonts w:eastAsia="Times New Roman" w:cs="Calibri"/>
                <w:b/>
                <w:bCs/>
                <w:sz w:val="22"/>
                <w:szCs w:val="22"/>
                <w:lang w:eastAsia="es-CO"/>
              </w:rPr>
            </w:pPr>
            <w:r w:rsidRPr="001E37D8">
              <w:rPr>
                <w:rFonts w:eastAsia="Times New Roman" w:cs="Calibri"/>
                <w:b/>
                <w:bCs/>
                <w:sz w:val="22"/>
                <w:szCs w:val="22"/>
                <w:lang w:eastAsia="es-CO"/>
              </w:rPr>
              <w:t>Descripción del Anexos</w:t>
            </w:r>
          </w:p>
        </w:tc>
        <w:tc>
          <w:tcPr>
            <w:tcW w:w="3118" w:type="dxa"/>
            <w:vMerge/>
            <w:vAlign w:val="center"/>
            <w:hideMark/>
          </w:tcPr>
          <w:p w14:paraId="29906ECE" w14:textId="77777777" w:rsidR="00DE3C06" w:rsidRPr="001E37D8" w:rsidRDefault="00DE3C06" w:rsidP="008A49D0">
            <w:pPr>
              <w:spacing w:after="0" w:line="240" w:lineRule="auto"/>
              <w:rPr>
                <w:rFonts w:eastAsia="Times New Roman" w:cs="Calibri"/>
                <w:b/>
                <w:bCs/>
                <w:sz w:val="22"/>
                <w:szCs w:val="22"/>
                <w:lang w:eastAsia="es-CO"/>
              </w:rPr>
            </w:pPr>
          </w:p>
        </w:tc>
      </w:tr>
      <w:tr w:rsidR="00DE3C06" w:rsidRPr="001E37D8" w14:paraId="2619372C" w14:textId="77777777" w:rsidTr="008A49D0">
        <w:trPr>
          <w:trHeight w:val="264"/>
        </w:trPr>
        <w:tc>
          <w:tcPr>
            <w:tcW w:w="1040" w:type="dxa"/>
            <w:vAlign w:val="center"/>
            <w:hideMark/>
          </w:tcPr>
          <w:p w14:paraId="4B59E703" w14:textId="77777777" w:rsidR="00DE3C06" w:rsidRPr="001E37D8" w:rsidRDefault="00DE3C06" w:rsidP="008A49D0">
            <w:pPr>
              <w:spacing w:after="0" w:line="240" w:lineRule="auto"/>
              <w:jc w:val="center"/>
              <w:rPr>
                <w:rFonts w:eastAsia="Times New Roman" w:cs="Calibri"/>
                <w:b/>
                <w:bCs/>
                <w:sz w:val="22"/>
                <w:szCs w:val="22"/>
                <w:lang w:eastAsia="es-CO"/>
              </w:rPr>
            </w:pPr>
            <w:r w:rsidRPr="001E37D8">
              <w:rPr>
                <w:rFonts w:eastAsia="Times New Roman" w:cs="Calibri"/>
                <w:b/>
                <w:bCs/>
                <w:sz w:val="22"/>
                <w:szCs w:val="22"/>
                <w:lang w:eastAsia="es-CO"/>
              </w:rPr>
              <w:t>1</w:t>
            </w:r>
          </w:p>
        </w:tc>
        <w:tc>
          <w:tcPr>
            <w:tcW w:w="3780" w:type="dxa"/>
            <w:vAlign w:val="center"/>
            <w:hideMark/>
          </w:tcPr>
          <w:p w14:paraId="53004557" w14:textId="77777777" w:rsidR="00DE3C06" w:rsidRPr="001E37D8" w:rsidRDefault="00DE3C06" w:rsidP="008A49D0">
            <w:pPr>
              <w:spacing w:after="0" w:line="240" w:lineRule="auto"/>
              <w:rPr>
                <w:rFonts w:eastAsia="Times New Roman" w:cs="Calibri"/>
                <w:sz w:val="22"/>
                <w:szCs w:val="22"/>
                <w:lang w:eastAsia="es-CO"/>
              </w:rPr>
            </w:pPr>
            <w:r w:rsidRPr="001E37D8">
              <w:rPr>
                <w:rFonts w:eastAsia="Times New Roman" w:cs="Calibri"/>
                <w:sz w:val="22"/>
                <w:szCs w:val="22"/>
                <w:lang w:eastAsia="es-CO"/>
              </w:rPr>
              <w:t>Listado de 170 municipios PDET</w:t>
            </w:r>
          </w:p>
        </w:tc>
        <w:tc>
          <w:tcPr>
            <w:tcW w:w="3118" w:type="dxa"/>
            <w:vAlign w:val="center"/>
            <w:hideMark/>
          </w:tcPr>
          <w:p w14:paraId="4C70FFFC" w14:textId="77777777" w:rsidR="00DE3C06" w:rsidRPr="001E37D8" w:rsidRDefault="00DE3C06" w:rsidP="008A49D0">
            <w:pPr>
              <w:spacing w:after="0" w:line="240" w:lineRule="auto"/>
              <w:rPr>
                <w:rFonts w:eastAsia="Times New Roman" w:cs="Calibri"/>
                <w:sz w:val="22"/>
                <w:szCs w:val="22"/>
                <w:lang w:eastAsia="es-CO"/>
              </w:rPr>
            </w:pPr>
            <w:r w:rsidRPr="001E37D8">
              <w:rPr>
                <w:rFonts w:eastAsia="Times New Roman" w:cs="Calibri"/>
                <w:sz w:val="22"/>
                <w:szCs w:val="22"/>
                <w:lang w:eastAsia="es-CO"/>
              </w:rPr>
              <w:t>1.INTRODUCCIÓN</w:t>
            </w:r>
          </w:p>
        </w:tc>
      </w:tr>
      <w:tr w:rsidR="00DE3C06" w:rsidRPr="001E37D8" w14:paraId="3A723A23" w14:textId="77777777" w:rsidTr="008A49D0">
        <w:trPr>
          <w:trHeight w:val="264"/>
        </w:trPr>
        <w:tc>
          <w:tcPr>
            <w:tcW w:w="1040" w:type="dxa"/>
            <w:noWrap/>
            <w:vAlign w:val="center"/>
            <w:hideMark/>
          </w:tcPr>
          <w:p w14:paraId="3066578C" w14:textId="77777777" w:rsidR="00DE3C06" w:rsidRPr="001E37D8" w:rsidRDefault="00DE3C06" w:rsidP="008A49D0">
            <w:pPr>
              <w:spacing w:after="0" w:line="240" w:lineRule="auto"/>
              <w:jc w:val="center"/>
              <w:rPr>
                <w:rFonts w:eastAsia="Times New Roman" w:cs="Calibri"/>
                <w:b/>
                <w:bCs/>
                <w:sz w:val="22"/>
                <w:szCs w:val="22"/>
                <w:lang w:eastAsia="es-CO"/>
              </w:rPr>
            </w:pPr>
            <w:r w:rsidRPr="001E37D8">
              <w:rPr>
                <w:rFonts w:eastAsia="Times New Roman" w:cs="Calibri"/>
                <w:b/>
                <w:bCs/>
                <w:sz w:val="22"/>
                <w:szCs w:val="22"/>
                <w:lang w:eastAsia="es-CO"/>
              </w:rPr>
              <w:t>2</w:t>
            </w:r>
          </w:p>
        </w:tc>
        <w:tc>
          <w:tcPr>
            <w:tcW w:w="3780" w:type="dxa"/>
            <w:vAlign w:val="center"/>
            <w:hideMark/>
          </w:tcPr>
          <w:p w14:paraId="6139510D" w14:textId="77777777" w:rsidR="00DE3C06" w:rsidRPr="001E37D8" w:rsidRDefault="00DE3C06" w:rsidP="008A49D0">
            <w:pPr>
              <w:spacing w:after="0" w:line="240" w:lineRule="auto"/>
              <w:rPr>
                <w:rFonts w:eastAsia="Times New Roman" w:cs="Calibri"/>
                <w:sz w:val="22"/>
                <w:szCs w:val="22"/>
                <w:lang w:eastAsia="es-CO"/>
              </w:rPr>
            </w:pPr>
            <w:r w:rsidRPr="001E37D8">
              <w:rPr>
                <w:rFonts w:eastAsia="Times New Roman" w:cs="Calibri"/>
                <w:sz w:val="22"/>
                <w:szCs w:val="22"/>
                <w:lang w:eastAsia="es-CO"/>
              </w:rPr>
              <w:t>Planta Global - 13052026 ART 2026_Directorio</w:t>
            </w:r>
          </w:p>
        </w:tc>
        <w:tc>
          <w:tcPr>
            <w:tcW w:w="3118" w:type="dxa"/>
            <w:vAlign w:val="center"/>
            <w:hideMark/>
          </w:tcPr>
          <w:p w14:paraId="6EE74C97" w14:textId="77777777" w:rsidR="00DE3C06" w:rsidRPr="001E37D8" w:rsidRDefault="00DE3C06" w:rsidP="008A49D0">
            <w:pPr>
              <w:spacing w:after="0" w:line="240" w:lineRule="auto"/>
              <w:rPr>
                <w:rFonts w:eastAsia="Times New Roman" w:cs="Calibri"/>
                <w:sz w:val="22"/>
                <w:szCs w:val="22"/>
                <w:lang w:eastAsia="es-CO"/>
              </w:rPr>
            </w:pPr>
            <w:r w:rsidRPr="001E37D8">
              <w:rPr>
                <w:rFonts w:eastAsia="Times New Roman" w:cs="Calibri"/>
                <w:sz w:val="22"/>
                <w:szCs w:val="22"/>
                <w:lang w:eastAsia="es-CO"/>
              </w:rPr>
              <w:t>2. Sector Estructura</w:t>
            </w:r>
          </w:p>
        </w:tc>
      </w:tr>
      <w:tr w:rsidR="00DE3C06" w:rsidRPr="001E37D8" w14:paraId="5D08618D" w14:textId="77777777" w:rsidTr="008A49D0">
        <w:trPr>
          <w:trHeight w:val="264"/>
        </w:trPr>
        <w:tc>
          <w:tcPr>
            <w:tcW w:w="1040" w:type="dxa"/>
            <w:vAlign w:val="center"/>
            <w:hideMark/>
          </w:tcPr>
          <w:p w14:paraId="4B2D1F2A" w14:textId="77777777" w:rsidR="00DE3C06" w:rsidRPr="001E37D8" w:rsidRDefault="00DE3C06" w:rsidP="008A49D0">
            <w:pPr>
              <w:spacing w:after="0" w:line="240" w:lineRule="auto"/>
              <w:jc w:val="center"/>
              <w:rPr>
                <w:rFonts w:eastAsia="Times New Roman" w:cs="Calibri"/>
                <w:b/>
                <w:bCs/>
                <w:sz w:val="22"/>
                <w:szCs w:val="22"/>
                <w:lang w:eastAsia="es-CO"/>
              </w:rPr>
            </w:pPr>
            <w:r w:rsidRPr="001E37D8">
              <w:rPr>
                <w:rFonts w:eastAsia="Times New Roman" w:cs="Calibri"/>
                <w:b/>
                <w:bCs/>
                <w:sz w:val="22"/>
                <w:szCs w:val="22"/>
                <w:lang w:eastAsia="es-CO"/>
              </w:rPr>
              <w:t>3</w:t>
            </w:r>
          </w:p>
        </w:tc>
        <w:tc>
          <w:tcPr>
            <w:tcW w:w="3780" w:type="dxa"/>
            <w:vAlign w:val="center"/>
            <w:hideMark/>
          </w:tcPr>
          <w:p w14:paraId="1D116EEB" w14:textId="77777777" w:rsidR="00DE3C06" w:rsidRPr="001E37D8" w:rsidRDefault="00DE3C06" w:rsidP="008A49D0">
            <w:pPr>
              <w:spacing w:after="0" w:line="240" w:lineRule="auto"/>
              <w:rPr>
                <w:rFonts w:eastAsia="Times New Roman" w:cs="Calibri"/>
                <w:sz w:val="22"/>
                <w:szCs w:val="22"/>
                <w:lang w:eastAsia="es-CO"/>
              </w:rPr>
            </w:pPr>
            <w:r w:rsidRPr="001E37D8">
              <w:rPr>
                <w:rFonts w:eastAsia="Times New Roman" w:cs="Calibri"/>
                <w:sz w:val="22"/>
                <w:szCs w:val="22"/>
                <w:lang w:eastAsia="es-CO"/>
              </w:rPr>
              <w:t>Normatividad Vigente ART</w:t>
            </w:r>
          </w:p>
        </w:tc>
        <w:tc>
          <w:tcPr>
            <w:tcW w:w="3118" w:type="dxa"/>
            <w:vAlign w:val="center"/>
            <w:hideMark/>
          </w:tcPr>
          <w:p w14:paraId="40D8ECFC" w14:textId="77777777" w:rsidR="00DE3C06" w:rsidRPr="001E37D8" w:rsidRDefault="00DE3C06" w:rsidP="008A49D0">
            <w:pPr>
              <w:spacing w:after="0" w:line="240" w:lineRule="auto"/>
              <w:rPr>
                <w:rFonts w:eastAsia="Times New Roman" w:cs="Calibri"/>
                <w:sz w:val="22"/>
                <w:szCs w:val="22"/>
                <w:lang w:eastAsia="es-CO"/>
              </w:rPr>
            </w:pPr>
            <w:r w:rsidRPr="001E37D8">
              <w:rPr>
                <w:rFonts w:eastAsia="Times New Roman" w:cs="Calibri"/>
                <w:sz w:val="22"/>
                <w:szCs w:val="22"/>
                <w:lang w:eastAsia="es-CO"/>
              </w:rPr>
              <w:t>3. Normatividad que le aplica</w:t>
            </w:r>
          </w:p>
        </w:tc>
      </w:tr>
      <w:tr w:rsidR="00DE3C06" w:rsidRPr="001E37D8" w14:paraId="6877D0BE" w14:textId="77777777" w:rsidTr="008A49D0">
        <w:trPr>
          <w:trHeight w:val="528"/>
        </w:trPr>
        <w:tc>
          <w:tcPr>
            <w:tcW w:w="1040" w:type="dxa"/>
            <w:vAlign w:val="center"/>
            <w:hideMark/>
          </w:tcPr>
          <w:p w14:paraId="25934E8B" w14:textId="77777777" w:rsidR="00DE3C06" w:rsidRPr="001E37D8" w:rsidRDefault="00DE3C06" w:rsidP="008A49D0">
            <w:pPr>
              <w:spacing w:after="0" w:line="240" w:lineRule="auto"/>
              <w:jc w:val="center"/>
              <w:rPr>
                <w:rFonts w:eastAsia="Times New Roman" w:cs="Calibri"/>
                <w:b/>
                <w:bCs/>
                <w:sz w:val="22"/>
                <w:szCs w:val="22"/>
                <w:lang w:eastAsia="es-CO"/>
              </w:rPr>
            </w:pPr>
            <w:r w:rsidRPr="001E37D8">
              <w:rPr>
                <w:rFonts w:eastAsia="Times New Roman" w:cs="Calibri"/>
                <w:b/>
                <w:bCs/>
                <w:sz w:val="22"/>
                <w:szCs w:val="22"/>
                <w:lang w:eastAsia="es-CO"/>
              </w:rPr>
              <w:t>4</w:t>
            </w:r>
          </w:p>
        </w:tc>
        <w:tc>
          <w:tcPr>
            <w:tcW w:w="3780" w:type="dxa"/>
            <w:vAlign w:val="center"/>
            <w:hideMark/>
          </w:tcPr>
          <w:p w14:paraId="1F38E8B0" w14:textId="77777777" w:rsidR="00DE3C06" w:rsidRPr="001E37D8" w:rsidRDefault="00DE3C06" w:rsidP="008A49D0">
            <w:pPr>
              <w:spacing w:after="0" w:line="240" w:lineRule="auto"/>
              <w:rPr>
                <w:rFonts w:eastAsia="Times New Roman" w:cs="Calibri"/>
                <w:sz w:val="22"/>
                <w:szCs w:val="22"/>
                <w:lang w:eastAsia="es-CO"/>
              </w:rPr>
            </w:pPr>
            <w:r w:rsidRPr="001E37D8">
              <w:rPr>
                <w:rFonts w:eastAsia="Times New Roman" w:cs="Calibri"/>
                <w:sz w:val="22"/>
                <w:szCs w:val="22"/>
                <w:lang w:eastAsia="es-CO"/>
              </w:rPr>
              <w:t>Listado de Procesos y procedimientos vigentes</w:t>
            </w:r>
          </w:p>
        </w:tc>
        <w:tc>
          <w:tcPr>
            <w:tcW w:w="3118" w:type="dxa"/>
            <w:vAlign w:val="center"/>
            <w:hideMark/>
          </w:tcPr>
          <w:p w14:paraId="654378A2" w14:textId="77777777" w:rsidR="00DE3C06" w:rsidRPr="001E37D8" w:rsidRDefault="00DE3C06" w:rsidP="008A49D0">
            <w:pPr>
              <w:spacing w:after="0" w:line="240" w:lineRule="auto"/>
              <w:rPr>
                <w:rFonts w:eastAsia="Times New Roman" w:cs="Calibri"/>
                <w:sz w:val="22"/>
                <w:szCs w:val="22"/>
                <w:lang w:eastAsia="es-CO"/>
              </w:rPr>
            </w:pPr>
            <w:r w:rsidRPr="001E37D8">
              <w:rPr>
                <w:rFonts w:eastAsia="Times New Roman" w:cs="Calibri"/>
                <w:sz w:val="22"/>
                <w:szCs w:val="22"/>
                <w:lang w:eastAsia="es-CO"/>
              </w:rPr>
              <w:t>4. Reglamentos, manuales de organización, de procedimientos</w:t>
            </w:r>
          </w:p>
        </w:tc>
      </w:tr>
      <w:tr w:rsidR="00DE3C06" w:rsidRPr="001E37D8" w14:paraId="6BAF5BA6" w14:textId="77777777" w:rsidTr="008A49D0">
        <w:trPr>
          <w:trHeight w:val="528"/>
        </w:trPr>
        <w:tc>
          <w:tcPr>
            <w:tcW w:w="1040" w:type="dxa"/>
            <w:vAlign w:val="center"/>
            <w:hideMark/>
          </w:tcPr>
          <w:p w14:paraId="578FE675" w14:textId="77777777" w:rsidR="00DE3C06" w:rsidRPr="001E37D8" w:rsidRDefault="00DE3C06" w:rsidP="008A49D0">
            <w:pPr>
              <w:spacing w:after="0" w:line="240" w:lineRule="auto"/>
              <w:jc w:val="center"/>
              <w:rPr>
                <w:rFonts w:eastAsia="Times New Roman" w:cs="Calibri"/>
                <w:b/>
                <w:bCs/>
                <w:sz w:val="22"/>
                <w:szCs w:val="22"/>
                <w:lang w:eastAsia="es-CO"/>
              </w:rPr>
            </w:pPr>
            <w:r w:rsidRPr="001E37D8">
              <w:rPr>
                <w:rFonts w:eastAsia="Times New Roman" w:cs="Calibri"/>
                <w:b/>
                <w:bCs/>
                <w:sz w:val="22"/>
                <w:szCs w:val="22"/>
                <w:lang w:eastAsia="es-CO"/>
              </w:rPr>
              <w:t>5</w:t>
            </w:r>
          </w:p>
        </w:tc>
        <w:tc>
          <w:tcPr>
            <w:tcW w:w="3780" w:type="dxa"/>
            <w:vAlign w:val="center"/>
            <w:hideMark/>
          </w:tcPr>
          <w:p w14:paraId="468903C0" w14:textId="77777777" w:rsidR="00DE3C06" w:rsidRPr="001E37D8" w:rsidRDefault="00DE3C06" w:rsidP="008A49D0">
            <w:pPr>
              <w:spacing w:after="0" w:line="240" w:lineRule="auto"/>
              <w:rPr>
                <w:rFonts w:eastAsia="Times New Roman" w:cs="Calibri"/>
                <w:sz w:val="22"/>
                <w:szCs w:val="22"/>
                <w:lang w:eastAsia="es-CO"/>
              </w:rPr>
            </w:pPr>
            <w:r w:rsidRPr="001E37D8">
              <w:rPr>
                <w:rFonts w:eastAsia="Times New Roman" w:cs="Calibri"/>
                <w:sz w:val="22"/>
                <w:szCs w:val="22"/>
                <w:lang w:eastAsia="es-CO"/>
              </w:rPr>
              <w:t>Proyectos e inversión en municipios PDET - Histórico 2017 – 2026 por fuentes de financiación</w:t>
            </w:r>
            <w:proofErr w:type="gramStart"/>
            <w:r w:rsidRPr="001E37D8">
              <w:rPr>
                <w:rFonts w:eastAsia="Times New Roman" w:cs="Calibri"/>
                <w:sz w:val="22"/>
                <w:szCs w:val="22"/>
                <w:lang w:eastAsia="es-CO"/>
              </w:rPr>
              <w:t xml:space="preserve">   (</w:t>
            </w:r>
            <w:proofErr w:type="gramEnd"/>
            <w:r w:rsidRPr="001E37D8">
              <w:rPr>
                <w:rFonts w:eastAsia="Times New Roman" w:cs="Calibri"/>
                <w:sz w:val="22"/>
                <w:szCs w:val="22"/>
                <w:lang w:eastAsia="es-CO"/>
              </w:rPr>
              <w:t>Corte 31 marzo 2026)</w:t>
            </w:r>
          </w:p>
        </w:tc>
        <w:tc>
          <w:tcPr>
            <w:tcW w:w="3118" w:type="dxa"/>
            <w:vMerge w:val="restart"/>
            <w:vAlign w:val="center"/>
            <w:hideMark/>
          </w:tcPr>
          <w:p w14:paraId="1161B026" w14:textId="77777777" w:rsidR="00DE3C06" w:rsidRPr="001E37D8" w:rsidRDefault="00DE3C06" w:rsidP="008A49D0">
            <w:pPr>
              <w:spacing w:after="0" w:line="240" w:lineRule="auto"/>
              <w:rPr>
                <w:rFonts w:eastAsia="Times New Roman" w:cs="Calibri"/>
                <w:sz w:val="22"/>
                <w:szCs w:val="22"/>
                <w:lang w:eastAsia="es-CO"/>
              </w:rPr>
            </w:pPr>
            <w:r w:rsidRPr="001E37D8">
              <w:rPr>
                <w:rFonts w:eastAsia="Times New Roman" w:cs="Calibri"/>
                <w:sz w:val="22"/>
                <w:szCs w:val="22"/>
                <w:lang w:eastAsia="es-CO"/>
              </w:rPr>
              <w:t>5.2 Actividades emprendidas y resultados obtenidos</w:t>
            </w:r>
          </w:p>
        </w:tc>
      </w:tr>
      <w:tr w:rsidR="00DE3C06" w:rsidRPr="001E37D8" w14:paraId="4476D2E2" w14:textId="77777777" w:rsidTr="008A49D0">
        <w:trPr>
          <w:trHeight w:val="264"/>
        </w:trPr>
        <w:tc>
          <w:tcPr>
            <w:tcW w:w="1040" w:type="dxa"/>
            <w:vAlign w:val="center"/>
            <w:hideMark/>
          </w:tcPr>
          <w:p w14:paraId="415BD1D6" w14:textId="77777777" w:rsidR="00DE3C06" w:rsidRPr="001E37D8" w:rsidRDefault="00DE3C06" w:rsidP="008A49D0">
            <w:pPr>
              <w:spacing w:after="0" w:line="240" w:lineRule="auto"/>
              <w:jc w:val="center"/>
              <w:rPr>
                <w:rFonts w:eastAsia="Times New Roman" w:cs="Calibri"/>
                <w:b/>
                <w:bCs/>
                <w:sz w:val="22"/>
                <w:szCs w:val="22"/>
                <w:lang w:eastAsia="es-CO"/>
              </w:rPr>
            </w:pPr>
            <w:r w:rsidRPr="001E37D8">
              <w:rPr>
                <w:rFonts w:eastAsia="Times New Roman" w:cs="Calibri"/>
                <w:b/>
                <w:bCs/>
                <w:sz w:val="22"/>
                <w:szCs w:val="22"/>
                <w:lang w:eastAsia="es-CO"/>
              </w:rPr>
              <w:t>6</w:t>
            </w:r>
          </w:p>
        </w:tc>
        <w:tc>
          <w:tcPr>
            <w:tcW w:w="3780" w:type="dxa"/>
            <w:vAlign w:val="center"/>
            <w:hideMark/>
          </w:tcPr>
          <w:p w14:paraId="7A8DD32F" w14:textId="77777777" w:rsidR="00DE3C06" w:rsidRPr="001E37D8" w:rsidRDefault="00DE3C06" w:rsidP="008A49D0">
            <w:pPr>
              <w:spacing w:after="0" w:line="240" w:lineRule="auto"/>
              <w:rPr>
                <w:rFonts w:eastAsia="Times New Roman" w:cs="Calibri"/>
                <w:sz w:val="22"/>
                <w:szCs w:val="22"/>
                <w:lang w:eastAsia="es-CO"/>
              </w:rPr>
            </w:pPr>
            <w:r w:rsidRPr="001E37D8">
              <w:rPr>
                <w:rFonts w:eastAsia="Times New Roman" w:cs="Calibri"/>
                <w:sz w:val="22"/>
                <w:szCs w:val="22"/>
                <w:lang w:eastAsia="es-CO"/>
              </w:rPr>
              <w:t>Proyectos PDET terminados</w:t>
            </w:r>
          </w:p>
        </w:tc>
        <w:tc>
          <w:tcPr>
            <w:tcW w:w="3118" w:type="dxa"/>
            <w:vMerge/>
            <w:vAlign w:val="center"/>
            <w:hideMark/>
          </w:tcPr>
          <w:p w14:paraId="2DEBA71D" w14:textId="77777777" w:rsidR="00DE3C06" w:rsidRPr="001E37D8" w:rsidRDefault="00DE3C06" w:rsidP="008A49D0">
            <w:pPr>
              <w:spacing w:after="0" w:line="240" w:lineRule="auto"/>
              <w:rPr>
                <w:rFonts w:eastAsia="Times New Roman" w:cs="Calibri"/>
                <w:sz w:val="22"/>
                <w:szCs w:val="22"/>
                <w:lang w:eastAsia="es-CO"/>
              </w:rPr>
            </w:pPr>
          </w:p>
        </w:tc>
      </w:tr>
      <w:tr w:rsidR="00DE3C06" w:rsidRPr="001E37D8" w14:paraId="147AE26B" w14:textId="77777777" w:rsidTr="008A49D0">
        <w:trPr>
          <w:trHeight w:val="264"/>
        </w:trPr>
        <w:tc>
          <w:tcPr>
            <w:tcW w:w="1040" w:type="dxa"/>
            <w:vAlign w:val="center"/>
            <w:hideMark/>
          </w:tcPr>
          <w:p w14:paraId="1D850FA8" w14:textId="77777777" w:rsidR="00DE3C06" w:rsidRPr="001E37D8" w:rsidRDefault="00DE3C06" w:rsidP="008A49D0">
            <w:pPr>
              <w:spacing w:after="0" w:line="240" w:lineRule="auto"/>
              <w:jc w:val="center"/>
              <w:rPr>
                <w:rFonts w:eastAsia="Times New Roman" w:cs="Calibri"/>
                <w:b/>
                <w:bCs/>
                <w:sz w:val="22"/>
                <w:szCs w:val="22"/>
                <w:lang w:eastAsia="es-CO"/>
              </w:rPr>
            </w:pPr>
            <w:r w:rsidRPr="001E37D8">
              <w:rPr>
                <w:rFonts w:eastAsia="Times New Roman" w:cs="Calibri"/>
                <w:b/>
                <w:bCs/>
                <w:sz w:val="22"/>
                <w:szCs w:val="22"/>
                <w:lang w:eastAsia="es-CO"/>
              </w:rPr>
              <w:t>7</w:t>
            </w:r>
          </w:p>
        </w:tc>
        <w:tc>
          <w:tcPr>
            <w:tcW w:w="3780" w:type="dxa"/>
            <w:vAlign w:val="center"/>
            <w:hideMark/>
          </w:tcPr>
          <w:p w14:paraId="14B6548F" w14:textId="77777777" w:rsidR="00DE3C06" w:rsidRPr="001E37D8" w:rsidRDefault="00DE3C06" w:rsidP="008A49D0">
            <w:pPr>
              <w:spacing w:after="0" w:line="240" w:lineRule="auto"/>
              <w:rPr>
                <w:rFonts w:eastAsia="Times New Roman" w:cs="Calibri"/>
                <w:sz w:val="22"/>
                <w:szCs w:val="22"/>
                <w:lang w:eastAsia="es-CO"/>
              </w:rPr>
            </w:pPr>
            <w:r w:rsidRPr="001E37D8">
              <w:rPr>
                <w:rFonts w:eastAsia="Times New Roman" w:cs="Calibri"/>
                <w:sz w:val="22"/>
                <w:szCs w:val="22"/>
                <w:lang w:eastAsia="es-CO"/>
              </w:rPr>
              <w:t>Indicadores PND</w:t>
            </w:r>
          </w:p>
        </w:tc>
        <w:tc>
          <w:tcPr>
            <w:tcW w:w="3118" w:type="dxa"/>
            <w:vMerge w:val="restart"/>
            <w:vAlign w:val="center"/>
            <w:hideMark/>
          </w:tcPr>
          <w:p w14:paraId="31D6B217" w14:textId="77777777" w:rsidR="00DE3C06" w:rsidRPr="001E37D8" w:rsidRDefault="00DE3C06" w:rsidP="008A49D0">
            <w:pPr>
              <w:spacing w:after="0" w:line="240" w:lineRule="auto"/>
              <w:rPr>
                <w:rFonts w:eastAsia="Times New Roman" w:cs="Calibri"/>
                <w:sz w:val="22"/>
                <w:szCs w:val="22"/>
                <w:lang w:eastAsia="es-CO"/>
              </w:rPr>
            </w:pPr>
            <w:r w:rsidRPr="001E37D8">
              <w:rPr>
                <w:rFonts w:eastAsia="Times New Roman" w:cs="Calibri"/>
                <w:sz w:val="22"/>
                <w:szCs w:val="22"/>
                <w:lang w:eastAsia="es-CO"/>
              </w:rPr>
              <w:t>6.1 Plan Nacional de Desarrollo 2022-2026</w:t>
            </w:r>
          </w:p>
        </w:tc>
      </w:tr>
      <w:tr w:rsidR="00DE3C06" w:rsidRPr="001E37D8" w14:paraId="0B27521B" w14:textId="77777777" w:rsidTr="008A49D0">
        <w:trPr>
          <w:trHeight w:val="264"/>
        </w:trPr>
        <w:tc>
          <w:tcPr>
            <w:tcW w:w="1040" w:type="dxa"/>
            <w:vAlign w:val="center"/>
            <w:hideMark/>
          </w:tcPr>
          <w:p w14:paraId="494CCFFA" w14:textId="77777777" w:rsidR="00DE3C06" w:rsidRPr="001E37D8" w:rsidRDefault="00DE3C06" w:rsidP="008A49D0">
            <w:pPr>
              <w:spacing w:after="0" w:line="240" w:lineRule="auto"/>
              <w:jc w:val="center"/>
              <w:rPr>
                <w:rFonts w:eastAsia="Times New Roman" w:cs="Calibri"/>
                <w:b/>
                <w:bCs/>
                <w:sz w:val="22"/>
                <w:szCs w:val="22"/>
                <w:lang w:eastAsia="es-CO"/>
              </w:rPr>
            </w:pPr>
            <w:r w:rsidRPr="001E37D8">
              <w:rPr>
                <w:rFonts w:eastAsia="Times New Roman" w:cs="Calibri"/>
                <w:b/>
                <w:bCs/>
                <w:sz w:val="22"/>
                <w:szCs w:val="22"/>
                <w:lang w:eastAsia="es-CO"/>
              </w:rPr>
              <w:t>8</w:t>
            </w:r>
          </w:p>
        </w:tc>
        <w:tc>
          <w:tcPr>
            <w:tcW w:w="3780" w:type="dxa"/>
            <w:vAlign w:val="center"/>
            <w:hideMark/>
          </w:tcPr>
          <w:p w14:paraId="22D39100" w14:textId="77777777" w:rsidR="00DE3C06" w:rsidRPr="001E37D8" w:rsidRDefault="00DE3C06" w:rsidP="008A49D0">
            <w:pPr>
              <w:spacing w:after="0" w:line="240" w:lineRule="auto"/>
              <w:rPr>
                <w:rFonts w:eastAsia="Times New Roman" w:cs="Calibri"/>
                <w:sz w:val="22"/>
                <w:szCs w:val="22"/>
                <w:lang w:eastAsia="es-CO"/>
              </w:rPr>
            </w:pPr>
            <w:r w:rsidRPr="001E37D8">
              <w:rPr>
                <w:rFonts w:eastAsia="Times New Roman" w:cs="Calibri"/>
                <w:sz w:val="22"/>
                <w:szCs w:val="22"/>
                <w:lang w:eastAsia="es-CO"/>
              </w:rPr>
              <w:t>Indicadores otros 1er nivel*</w:t>
            </w:r>
          </w:p>
        </w:tc>
        <w:tc>
          <w:tcPr>
            <w:tcW w:w="3118" w:type="dxa"/>
            <w:vMerge/>
            <w:vAlign w:val="center"/>
            <w:hideMark/>
          </w:tcPr>
          <w:p w14:paraId="296E650C" w14:textId="77777777" w:rsidR="00DE3C06" w:rsidRPr="001E37D8" w:rsidRDefault="00DE3C06" w:rsidP="008A49D0">
            <w:pPr>
              <w:spacing w:after="0" w:line="240" w:lineRule="auto"/>
              <w:rPr>
                <w:rFonts w:eastAsia="Times New Roman" w:cs="Calibri"/>
                <w:sz w:val="22"/>
                <w:szCs w:val="22"/>
                <w:lang w:eastAsia="es-CO"/>
              </w:rPr>
            </w:pPr>
          </w:p>
        </w:tc>
      </w:tr>
      <w:tr w:rsidR="00DE3C06" w:rsidRPr="001E37D8" w14:paraId="7F97C778" w14:textId="77777777" w:rsidTr="008A49D0">
        <w:trPr>
          <w:trHeight w:val="264"/>
        </w:trPr>
        <w:tc>
          <w:tcPr>
            <w:tcW w:w="1040" w:type="dxa"/>
            <w:vAlign w:val="center"/>
            <w:hideMark/>
          </w:tcPr>
          <w:p w14:paraId="7E8599FD" w14:textId="77777777" w:rsidR="00DE3C06" w:rsidRPr="001E37D8" w:rsidRDefault="00DE3C06" w:rsidP="008A49D0">
            <w:pPr>
              <w:spacing w:after="0" w:line="240" w:lineRule="auto"/>
              <w:jc w:val="center"/>
              <w:rPr>
                <w:rFonts w:eastAsia="Times New Roman" w:cs="Calibri"/>
                <w:b/>
                <w:bCs/>
                <w:sz w:val="22"/>
                <w:szCs w:val="22"/>
                <w:lang w:eastAsia="es-CO"/>
              </w:rPr>
            </w:pPr>
            <w:r w:rsidRPr="001E37D8">
              <w:rPr>
                <w:rFonts w:eastAsia="Times New Roman" w:cs="Calibri"/>
                <w:b/>
                <w:bCs/>
                <w:sz w:val="22"/>
                <w:szCs w:val="22"/>
                <w:lang w:eastAsia="es-CO"/>
              </w:rPr>
              <w:t>9</w:t>
            </w:r>
          </w:p>
        </w:tc>
        <w:tc>
          <w:tcPr>
            <w:tcW w:w="3780" w:type="dxa"/>
            <w:vAlign w:val="center"/>
            <w:hideMark/>
          </w:tcPr>
          <w:p w14:paraId="66718A5A" w14:textId="77777777" w:rsidR="00DE3C06" w:rsidRPr="001E37D8" w:rsidRDefault="00DE3C06" w:rsidP="008A49D0">
            <w:pPr>
              <w:spacing w:after="0" w:line="240" w:lineRule="auto"/>
              <w:rPr>
                <w:rFonts w:eastAsia="Times New Roman" w:cs="Calibri"/>
                <w:sz w:val="22"/>
                <w:szCs w:val="22"/>
                <w:lang w:eastAsia="es-CO"/>
              </w:rPr>
            </w:pPr>
            <w:r w:rsidRPr="001E37D8">
              <w:rPr>
                <w:rFonts w:eastAsia="Times New Roman" w:cs="Calibri"/>
                <w:sz w:val="22"/>
                <w:szCs w:val="22"/>
                <w:lang w:eastAsia="es-CO"/>
              </w:rPr>
              <w:t>Compromisos Vicepresidencia</w:t>
            </w:r>
          </w:p>
          <w:p w14:paraId="2CD579E2" w14:textId="77777777" w:rsidR="00DE3C06" w:rsidRPr="001E37D8" w:rsidRDefault="00DE3C06" w:rsidP="008A49D0">
            <w:pPr>
              <w:spacing w:after="0" w:line="240" w:lineRule="auto"/>
              <w:rPr>
                <w:rFonts w:eastAsia="Times New Roman" w:cs="Calibri"/>
                <w:sz w:val="22"/>
                <w:szCs w:val="22"/>
                <w:lang w:eastAsia="es-CO"/>
              </w:rPr>
            </w:pPr>
            <w:r w:rsidRPr="001E37D8">
              <w:rPr>
                <w:rFonts w:eastAsia="Times New Roman" w:cs="Calibri"/>
                <w:sz w:val="22"/>
                <w:szCs w:val="22"/>
                <w:lang w:eastAsia="es-CO"/>
              </w:rPr>
              <w:t xml:space="preserve">Capítulo étnico </w:t>
            </w:r>
          </w:p>
        </w:tc>
        <w:tc>
          <w:tcPr>
            <w:tcW w:w="3118" w:type="dxa"/>
            <w:vMerge/>
            <w:vAlign w:val="center"/>
            <w:hideMark/>
          </w:tcPr>
          <w:p w14:paraId="14B1AF1E" w14:textId="77777777" w:rsidR="00DE3C06" w:rsidRPr="001E37D8" w:rsidRDefault="00DE3C06" w:rsidP="008A49D0">
            <w:pPr>
              <w:spacing w:after="0" w:line="240" w:lineRule="auto"/>
              <w:rPr>
                <w:rFonts w:eastAsia="Times New Roman" w:cs="Calibri"/>
                <w:sz w:val="22"/>
                <w:szCs w:val="22"/>
                <w:lang w:eastAsia="es-CO"/>
              </w:rPr>
            </w:pPr>
          </w:p>
        </w:tc>
      </w:tr>
      <w:tr w:rsidR="00DE3C06" w:rsidRPr="001E37D8" w14:paraId="4DCD540E" w14:textId="77777777" w:rsidTr="008A49D0">
        <w:trPr>
          <w:trHeight w:val="528"/>
        </w:trPr>
        <w:tc>
          <w:tcPr>
            <w:tcW w:w="1040" w:type="dxa"/>
            <w:noWrap/>
            <w:vAlign w:val="center"/>
            <w:hideMark/>
          </w:tcPr>
          <w:p w14:paraId="7CCC41EC" w14:textId="77777777" w:rsidR="00DE3C06" w:rsidRPr="001E37D8" w:rsidRDefault="00DE3C06" w:rsidP="008A49D0">
            <w:pPr>
              <w:spacing w:after="0" w:line="240" w:lineRule="auto"/>
              <w:jc w:val="center"/>
              <w:rPr>
                <w:rFonts w:eastAsia="Times New Roman" w:cs="Calibri"/>
                <w:b/>
                <w:bCs/>
                <w:sz w:val="22"/>
                <w:szCs w:val="22"/>
                <w:lang w:eastAsia="es-CO"/>
              </w:rPr>
            </w:pPr>
            <w:r w:rsidRPr="001E37D8">
              <w:rPr>
                <w:rFonts w:eastAsia="Times New Roman" w:cs="Calibri"/>
                <w:b/>
                <w:bCs/>
                <w:sz w:val="22"/>
                <w:szCs w:val="22"/>
                <w:lang w:eastAsia="es-CO"/>
              </w:rPr>
              <w:t>9A y 9B</w:t>
            </w:r>
          </w:p>
        </w:tc>
        <w:tc>
          <w:tcPr>
            <w:tcW w:w="3780" w:type="dxa"/>
            <w:vAlign w:val="center"/>
            <w:hideMark/>
          </w:tcPr>
          <w:p w14:paraId="4309FA56" w14:textId="77777777" w:rsidR="00DE3C06" w:rsidRPr="001E37D8" w:rsidRDefault="00DE3C06" w:rsidP="008A49D0">
            <w:pPr>
              <w:spacing w:after="0" w:line="240" w:lineRule="auto"/>
              <w:rPr>
                <w:rFonts w:eastAsia="Times New Roman" w:cs="Calibri"/>
                <w:sz w:val="22"/>
                <w:szCs w:val="22"/>
                <w:lang w:eastAsia="es-CO"/>
              </w:rPr>
            </w:pPr>
            <w:r w:rsidRPr="001E37D8">
              <w:rPr>
                <w:rFonts w:eastAsia="Times New Roman" w:cs="Calibri"/>
                <w:sz w:val="22"/>
                <w:szCs w:val="22"/>
                <w:lang w:eastAsia="es-CO"/>
              </w:rPr>
              <w:t xml:space="preserve">9A. y 9B Soportes Reporte Avance Proyectos Cohorte </w:t>
            </w:r>
            <w:proofErr w:type="gramStart"/>
            <w:r w:rsidRPr="001E37D8">
              <w:rPr>
                <w:rFonts w:eastAsia="Times New Roman" w:cs="Calibri"/>
                <w:sz w:val="22"/>
                <w:szCs w:val="22"/>
                <w:lang w:eastAsia="es-CO"/>
              </w:rPr>
              <w:t>Marzo</w:t>
            </w:r>
            <w:proofErr w:type="gramEnd"/>
            <w:r w:rsidRPr="001E37D8">
              <w:rPr>
                <w:rFonts w:eastAsia="Times New Roman" w:cs="Calibri"/>
                <w:sz w:val="22"/>
                <w:szCs w:val="22"/>
                <w:lang w:eastAsia="es-CO"/>
              </w:rPr>
              <w:t xml:space="preserve"> 2026_Informe Capítulo </w:t>
            </w:r>
            <w:proofErr w:type="spellStart"/>
            <w:r w:rsidRPr="001E37D8">
              <w:rPr>
                <w:rFonts w:eastAsia="Times New Roman" w:cs="Calibri"/>
                <w:sz w:val="22"/>
                <w:szCs w:val="22"/>
                <w:lang w:eastAsia="es-CO"/>
              </w:rPr>
              <w:t>Étnico_Vicepresidencia</w:t>
            </w:r>
            <w:proofErr w:type="spellEnd"/>
          </w:p>
        </w:tc>
        <w:tc>
          <w:tcPr>
            <w:tcW w:w="3118" w:type="dxa"/>
            <w:vMerge/>
            <w:vAlign w:val="center"/>
            <w:hideMark/>
          </w:tcPr>
          <w:p w14:paraId="70D59BF7" w14:textId="77777777" w:rsidR="00DE3C06" w:rsidRPr="001E37D8" w:rsidRDefault="00DE3C06" w:rsidP="008A49D0">
            <w:pPr>
              <w:spacing w:after="0" w:line="240" w:lineRule="auto"/>
              <w:rPr>
                <w:rFonts w:eastAsia="Times New Roman" w:cs="Calibri"/>
                <w:sz w:val="22"/>
                <w:szCs w:val="22"/>
                <w:lang w:eastAsia="es-CO"/>
              </w:rPr>
            </w:pPr>
          </w:p>
        </w:tc>
      </w:tr>
      <w:tr w:rsidR="00DE3C06" w:rsidRPr="001E37D8" w14:paraId="68B86BC2" w14:textId="77777777" w:rsidTr="008A49D0">
        <w:trPr>
          <w:trHeight w:val="264"/>
        </w:trPr>
        <w:tc>
          <w:tcPr>
            <w:tcW w:w="1040" w:type="dxa"/>
            <w:vAlign w:val="center"/>
            <w:hideMark/>
          </w:tcPr>
          <w:p w14:paraId="591E8AB4" w14:textId="77777777" w:rsidR="00DE3C06" w:rsidRPr="001E37D8" w:rsidRDefault="00DE3C06" w:rsidP="008A49D0">
            <w:pPr>
              <w:spacing w:after="0" w:line="240" w:lineRule="auto"/>
              <w:jc w:val="center"/>
              <w:rPr>
                <w:rFonts w:eastAsia="Times New Roman" w:cs="Calibri"/>
                <w:b/>
                <w:bCs/>
                <w:sz w:val="22"/>
                <w:szCs w:val="22"/>
                <w:lang w:eastAsia="es-CO"/>
              </w:rPr>
            </w:pPr>
            <w:r w:rsidRPr="001E37D8">
              <w:rPr>
                <w:rFonts w:eastAsia="Times New Roman" w:cs="Calibri"/>
                <w:b/>
                <w:bCs/>
                <w:sz w:val="22"/>
                <w:szCs w:val="22"/>
                <w:lang w:eastAsia="es-CO"/>
              </w:rPr>
              <w:t>10</w:t>
            </w:r>
          </w:p>
        </w:tc>
        <w:tc>
          <w:tcPr>
            <w:tcW w:w="3780" w:type="dxa"/>
            <w:vAlign w:val="center"/>
            <w:hideMark/>
          </w:tcPr>
          <w:p w14:paraId="03BC11A2" w14:textId="77777777" w:rsidR="00DE3C06" w:rsidRPr="001E37D8" w:rsidRDefault="00DE3C06" w:rsidP="008A49D0">
            <w:pPr>
              <w:spacing w:after="0" w:line="240" w:lineRule="auto"/>
              <w:rPr>
                <w:rFonts w:eastAsia="Times New Roman" w:cs="Calibri"/>
                <w:sz w:val="22"/>
                <w:szCs w:val="22"/>
                <w:lang w:eastAsia="es-CO"/>
              </w:rPr>
            </w:pPr>
            <w:r w:rsidRPr="001E37D8">
              <w:rPr>
                <w:rFonts w:eastAsia="Times New Roman" w:cs="Calibri"/>
                <w:sz w:val="22"/>
                <w:szCs w:val="22"/>
                <w:lang w:eastAsia="es-CO"/>
              </w:rPr>
              <w:t>Proceso de paz Indicadores PMI</w:t>
            </w:r>
          </w:p>
        </w:tc>
        <w:tc>
          <w:tcPr>
            <w:tcW w:w="3118" w:type="dxa"/>
            <w:vAlign w:val="center"/>
            <w:hideMark/>
          </w:tcPr>
          <w:p w14:paraId="60FD1917" w14:textId="77777777" w:rsidR="00DE3C06" w:rsidRPr="001E37D8" w:rsidRDefault="00DE3C06" w:rsidP="008A49D0">
            <w:pPr>
              <w:spacing w:after="0" w:line="240" w:lineRule="auto"/>
              <w:rPr>
                <w:rFonts w:eastAsia="Times New Roman" w:cs="Calibri"/>
                <w:sz w:val="22"/>
                <w:szCs w:val="22"/>
                <w:lang w:eastAsia="es-CO"/>
              </w:rPr>
            </w:pPr>
            <w:r w:rsidRPr="001E37D8">
              <w:rPr>
                <w:rFonts w:eastAsia="Times New Roman" w:cs="Calibri"/>
                <w:sz w:val="22"/>
                <w:szCs w:val="22"/>
                <w:lang w:eastAsia="es-CO"/>
              </w:rPr>
              <w:t>6.3 Proceso de Paz</w:t>
            </w:r>
          </w:p>
        </w:tc>
      </w:tr>
      <w:tr w:rsidR="00DE3C06" w:rsidRPr="001E37D8" w14:paraId="63CD658B" w14:textId="77777777" w:rsidTr="008A49D0">
        <w:trPr>
          <w:trHeight w:val="264"/>
        </w:trPr>
        <w:tc>
          <w:tcPr>
            <w:tcW w:w="1040" w:type="dxa"/>
            <w:vAlign w:val="center"/>
            <w:hideMark/>
          </w:tcPr>
          <w:p w14:paraId="060ADA9B" w14:textId="77777777" w:rsidR="00DE3C06" w:rsidRPr="001E37D8" w:rsidRDefault="00DE3C06" w:rsidP="008A49D0">
            <w:pPr>
              <w:spacing w:after="0" w:line="240" w:lineRule="auto"/>
              <w:jc w:val="center"/>
              <w:rPr>
                <w:rFonts w:eastAsia="Times New Roman" w:cs="Calibri"/>
                <w:b/>
                <w:bCs/>
                <w:sz w:val="22"/>
                <w:szCs w:val="22"/>
                <w:lang w:eastAsia="es-CO"/>
              </w:rPr>
            </w:pPr>
            <w:r w:rsidRPr="001E37D8">
              <w:rPr>
                <w:rFonts w:eastAsia="Times New Roman" w:cs="Calibri"/>
                <w:b/>
                <w:bCs/>
                <w:sz w:val="22"/>
                <w:szCs w:val="22"/>
                <w:lang w:eastAsia="es-CO"/>
              </w:rPr>
              <w:t>11</w:t>
            </w:r>
          </w:p>
        </w:tc>
        <w:tc>
          <w:tcPr>
            <w:tcW w:w="3780" w:type="dxa"/>
            <w:vAlign w:val="center"/>
            <w:hideMark/>
          </w:tcPr>
          <w:p w14:paraId="697119B7" w14:textId="77777777" w:rsidR="00DE3C06" w:rsidRPr="001E37D8" w:rsidRDefault="00DE3C06" w:rsidP="008A49D0">
            <w:pPr>
              <w:spacing w:after="0" w:line="240" w:lineRule="auto"/>
              <w:rPr>
                <w:rFonts w:eastAsia="Times New Roman" w:cs="Calibri"/>
                <w:sz w:val="22"/>
                <w:szCs w:val="22"/>
                <w:lang w:eastAsia="es-CO"/>
              </w:rPr>
            </w:pPr>
            <w:r w:rsidRPr="001E37D8">
              <w:rPr>
                <w:rFonts w:eastAsia="Times New Roman" w:cs="Calibri"/>
                <w:sz w:val="22"/>
                <w:szCs w:val="22"/>
                <w:lang w:eastAsia="es-CO"/>
              </w:rPr>
              <w:t>Políticas CONPES</w:t>
            </w:r>
          </w:p>
        </w:tc>
        <w:tc>
          <w:tcPr>
            <w:tcW w:w="3118" w:type="dxa"/>
            <w:vAlign w:val="center"/>
            <w:hideMark/>
          </w:tcPr>
          <w:p w14:paraId="32F45E2B" w14:textId="77777777" w:rsidR="00DE3C06" w:rsidRPr="001E37D8" w:rsidRDefault="00DE3C06" w:rsidP="008A49D0">
            <w:pPr>
              <w:spacing w:after="0" w:line="240" w:lineRule="auto"/>
              <w:rPr>
                <w:rFonts w:eastAsia="Times New Roman" w:cs="Calibri"/>
                <w:sz w:val="22"/>
                <w:szCs w:val="22"/>
                <w:lang w:eastAsia="es-CO"/>
              </w:rPr>
            </w:pPr>
            <w:r w:rsidRPr="001E37D8">
              <w:rPr>
                <w:rFonts w:eastAsia="Times New Roman" w:cs="Calibri"/>
                <w:sz w:val="22"/>
                <w:szCs w:val="22"/>
                <w:lang w:eastAsia="es-CO"/>
              </w:rPr>
              <w:t>6.4 Políticas de mediano y largo plazo</w:t>
            </w:r>
          </w:p>
        </w:tc>
      </w:tr>
      <w:tr w:rsidR="00DE3C06" w:rsidRPr="001E37D8" w14:paraId="1F8EA65E" w14:textId="77777777" w:rsidTr="008A49D0">
        <w:trPr>
          <w:trHeight w:val="264"/>
        </w:trPr>
        <w:tc>
          <w:tcPr>
            <w:tcW w:w="1040" w:type="dxa"/>
            <w:vAlign w:val="center"/>
            <w:hideMark/>
          </w:tcPr>
          <w:p w14:paraId="59BD821A" w14:textId="77777777" w:rsidR="00DE3C06" w:rsidRPr="001E37D8" w:rsidRDefault="00DE3C06" w:rsidP="008A49D0">
            <w:pPr>
              <w:spacing w:after="0" w:line="240" w:lineRule="auto"/>
              <w:jc w:val="center"/>
              <w:rPr>
                <w:rFonts w:eastAsia="Times New Roman" w:cs="Calibri"/>
                <w:b/>
                <w:bCs/>
                <w:sz w:val="22"/>
                <w:szCs w:val="22"/>
                <w:lang w:eastAsia="es-CO"/>
              </w:rPr>
            </w:pPr>
            <w:r w:rsidRPr="001E37D8">
              <w:rPr>
                <w:rFonts w:eastAsia="Times New Roman" w:cs="Calibri"/>
                <w:b/>
                <w:bCs/>
                <w:sz w:val="22"/>
                <w:szCs w:val="22"/>
                <w:lang w:eastAsia="es-CO"/>
              </w:rPr>
              <w:t>12A</w:t>
            </w:r>
          </w:p>
        </w:tc>
        <w:tc>
          <w:tcPr>
            <w:tcW w:w="3780" w:type="dxa"/>
            <w:vAlign w:val="center"/>
          </w:tcPr>
          <w:p w14:paraId="5634FBE8" w14:textId="77777777" w:rsidR="00DE3C06" w:rsidRPr="001E37D8" w:rsidRDefault="00DE3C06" w:rsidP="008A49D0">
            <w:pPr>
              <w:spacing w:after="0" w:line="240" w:lineRule="auto"/>
              <w:rPr>
                <w:rFonts w:eastAsia="Times New Roman" w:cs="Calibri"/>
                <w:sz w:val="22"/>
                <w:szCs w:val="22"/>
                <w:lang w:eastAsia="es-CO"/>
              </w:rPr>
            </w:pPr>
            <w:r w:rsidRPr="001E37D8">
              <w:rPr>
                <w:rFonts w:eastAsia="Times New Roman" w:cs="Calibri"/>
                <w:sz w:val="22"/>
                <w:szCs w:val="22"/>
                <w:lang w:eastAsia="es-CO"/>
              </w:rPr>
              <w:t>Ingresos y Gastos Por vigencias (PGN)</w:t>
            </w:r>
          </w:p>
        </w:tc>
        <w:tc>
          <w:tcPr>
            <w:tcW w:w="3118" w:type="dxa"/>
            <w:vMerge w:val="restart"/>
            <w:vAlign w:val="center"/>
          </w:tcPr>
          <w:p w14:paraId="49B0D2AA" w14:textId="77777777" w:rsidR="00DE3C06" w:rsidRPr="001E37D8" w:rsidRDefault="00DE3C06" w:rsidP="008A49D0">
            <w:pPr>
              <w:spacing w:after="0" w:line="240" w:lineRule="auto"/>
              <w:rPr>
                <w:rFonts w:eastAsia="Times New Roman" w:cs="Calibri"/>
                <w:sz w:val="22"/>
                <w:szCs w:val="22"/>
                <w:lang w:eastAsia="es-CO"/>
              </w:rPr>
            </w:pPr>
            <w:r w:rsidRPr="001E37D8">
              <w:rPr>
                <w:rFonts w:eastAsia="Times New Roman" w:cs="Calibri"/>
                <w:sz w:val="22"/>
                <w:szCs w:val="22"/>
                <w:lang w:eastAsia="es-CO"/>
              </w:rPr>
              <w:t>7. Recursos PGN</w:t>
            </w:r>
          </w:p>
        </w:tc>
      </w:tr>
      <w:tr w:rsidR="00DE3C06" w:rsidRPr="001E37D8" w14:paraId="244DF5C8" w14:textId="77777777" w:rsidTr="008A49D0">
        <w:trPr>
          <w:trHeight w:val="264"/>
        </w:trPr>
        <w:tc>
          <w:tcPr>
            <w:tcW w:w="1040" w:type="dxa"/>
            <w:vAlign w:val="center"/>
          </w:tcPr>
          <w:p w14:paraId="3E911920" w14:textId="77777777" w:rsidR="00DE3C06" w:rsidRPr="001E37D8" w:rsidRDefault="00DE3C06" w:rsidP="008A49D0">
            <w:pPr>
              <w:spacing w:after="0" w:line="240" w:lineRule="auto"/>
              <w:jc w:val="center"/>
              <w:rPr>
                <w:rFonts w:eastAsia="Times New Roman" w:cs="Calibri"/>
                <w:b/>
                <w:bCs/>
                <w:sz w:val="22"/>
                <w:szCs w:val="22"/>
                <w:lang w:eastAsia="es-CO"/>
              </w:rPr>
            </w:pPr>
            <w:r w:rsidRPr="001E37D8">
              <w:rPr>
                <w:rFonts w:eastAsia="Times New Roman" w:cs="Calibri"/>
                <w:b/>
                <w:bCs/>
                <w:sz w:val="22"/>
                <w:szCs w:val="22"/>
                <w:lang w:eastAsia="es-CO"/>
              </w:rPr>
              <w:t>12B</w:t>
            </w:r>
          </w:p>
        </w:tc>
        <w:tc>
          <w:tcPr>
            <w:tcW w:w="3780" w:type="dxa"/>
            <w:vAlign w:val="center"/>
          </w:tcPr>
          <w:p w14:paraId="5F7DA435" w14:textId="77777777" w:rsidR="00DE3C06" w:rsidRPr="001E37D8" w:rsidRDefault="00DE3C06" w:rsidP="008A49D0">
            <w:pPr>
              <w:spacing w:after="0" w:line="240" w:lineRule="auto"/>
              <w:rPr>
                <w:rFonts w:eastAsia="Times New Roman" w:cs="Calibri"/>
                <w:sz w:val="22"/>
                <w:szCs w:val="22"/>
                <w:lang w:eastAsia="es-CO"/>
              </w:rPr>
            </w:pPr>
            <w:r w:rsidRPr="001E37D8">
              <w:rPr>
                <w:rFonts w:eastAsia="Times New Roman" w:cs="Calibri"/>
                <w:sz w:val="22"/>
                <w:szCs w:val="22"/>
                <w:lang w:eastAsia="es-CO"/>
              </w:rPr>
              <w:t>Anteproyecto de Presupuesto</w:t>
            </w:r>
          </w:p>
        </w:tc>
        <w:tc>
          <w:tcPr>
            <w:tcW w:w="3118" w:type="dxa"/>
            <w:vMerge/>
            <w:vAlign w:val="center"/>
          </w:tcPr>
          <w:p w14:paraId="72117F4F" w14:textId="77777777" w:rsidR="00DE3C06" w:rsidRPr="001E37D8" w:rsidRDefault="00DE3C06" w:rsidP="008A49D0">
            <w:pPr>
              <w:spacing w:after="0" w:line="240" w:lineRule="auto"/>
              <w:rPr>
                <w:rFonts w:eastAsia="Times New Roman" w:cs="Calibri"/>
                <w:sz w:val="22"/>
                <w:szCs w:val="22"/>
                <w:lang w:eastAsia="es-CO"/>
              </w:rPr>
            </w:pPr>
          </w:p>
        </w:tc>
      </w:tr>
      <w:tr w:rsidR="00DE3C06" w:rsidRPr="001E37D8" w14:paraId="0F5AFFFF" w14:textId="77777777" w:rsidTr="008A49D0">
        <w:trPr>
          <w:trHeight w:val="300"/>
        </w:trPr>
        <w:tc>
          <w:tcPr>
            <w:tcW w:w="1040" w:type="dxa"/>
            <w:vAlign w:val="center"/>
            <w:hideMark/>
          </w:tcPr>
          <w:p w14:paraId="5DDACBB4" w14:textId="77777777" w:rsidR="00DE3C06" w:rsidRPr="001E37D8" w:rsidRDefault="00DE3C06" w:rsidP="008A49D0">
            <w:pPr>
              <w:spacing w:after="0" w:line="240" w:lineRule="auto"/>
              <w:jc w:val="center"/>
              <w:rPr>
                <w:rFonts w:eastAsia="Times New Roman" w:cs="Calibri"/>
                <w:b/>
                <w:bCs/>
                <w:sz w:val="22"/>
                <w:szCs w:val="22"/>
                <w:lang w:eastAsia="es-CO"/>
              </w:rPr>
            </w:pPr>
            <w:r w:rsidRPr="001E37D8">
              <w:rPr>
                <w:rFonts w:eastAsia="Times New Roman" w:cs="Calibri"/>
                <w:b/>
                <w:bCs/>
                <w:sz w:val="22"/>
                <w:szCs w:val="22"/>
                <w:lang w:eastAsia="es-CO"/>
              </w:rPr>
              <w:t>13</w:t>
            </w:r>
          </w:p>
        </w:tc>
        <w:tc>
          <w:tcPr>
            <w:tcW w:w="3780" w:type="dxa"/>
            <w:vAlign w:val="center"/>
            <w:hideMark/>
          </w:tcPr>
          <w:p w14:paraId="2DC58E43" w14:textId="77777777" w:rsidR="00DE3C06" w:rsidRPr="001E37D8" w:rsidRDefault="00DE3C06" w:rsidP="008A49D0">
            <w:pPr>
              <w:spacing w:after="0" w:line="240" w:lineRule="auto"/>
              <w:rPr>
                <w:rFonts w:eastAsia="Times New Roman" w:cs="Calibri"/>
                <w:sz w:val="22"/>
                <w:szCs w:val="22"/>
                <w:lang w:eastAsia="es-CO"/>
              </w:rPr>
            </w:pPr>
            <w:r w:rsidRPr="001E37D8">
              <w:rPr>
                <w:rFonts w:eastAsia="Times New Roman" w:cs="Calibri"/>
                <w:sz w:val="22"/>
                <w:szCs w:val="22"/>
                <w:lang w:eastAsia="es-CO"/>
              </w:rPr>
              <w:t>Vigencias futuras</w:t>
            </w:r>
          </w:p>
        </w:tc>
        <w:tc>
          <w:tcPr>
            <w:tcW w:w="3118" w:type="dxa"/>
            <w:vAlign w:val="center"/>
            <w:hideMark/>
          </w:tcPr>
          <w:p w14:paraId="0EEF59F7" w14:textId="77777777" w:rsidR="00DE3C06" w:rsidRPr="001E37D8" w:rsidRDefault="00DE3C06" w:rsidP="008A49D0">
            <w:pPr>
              <w:spacing w:after="0" w:line="240" w:lineRule="auto"/>
              <w:rPr>
                <w:rFonts w:eastAsia="Times New Roman" w:cs="Calibri"/>
                <w:sz w:val="22"/>
                <w:szCs w:val="22"/>
                <w:lang w:eastAsia="es-CO"/>
              </w:rPr>
            </w:pPr>
            <w:r w:rsidRPr="001E37D8">
              <w:rPr>
                <w:rFonts w:eastAsia="Times New Roman" w:cs="Calibri"/>
                <w:sz w:val="22"/>
                <w:szCs w:val="22"/>
                <w:lang w:eastAsia="es-CO"/>
              </w:rPr>
              <w:t>7.1 Vigencias futuras</w:t>
            </w:r>
          </w:p>
        </w:tc>
      </w:tr>
      <w:tr w:rsidR="00DE3C06" w:rsidRPr="001E37D8" w14:paraId="2C4977D3" w14:textId="77777777" w:rsidTr="008A49D0">
        <w:trPr>
          <w:trHeight w:val="264"/>
        </w:trPr>
        <w:tc>
          <w:tcPr>
            <w:tcW w:w="1040" w:type="dxa"/>
            <w:vAlign w:val="center"/>
            <w:hideMark/>
          </w:tcPr>
          <w:p w14:paraId="311B9402" w14:textId="77777777" w:rsidR="00DE3C06" w:rsidRPr="001E37D8" w:rsidRDefault="00DE3C06" w:rsidP="008A49D0">
            <w:pPr>
              <w:spacing w:after="0" w:line="240" w:lineRule="auto"/>
              <w:jc w:val="center"/>
              <w:rPr>
                <w:rFonts w:eastAsia="Times New Roman" w:cs="Calibri"/>
                <w:b/>
                <w:bCs/>
                <w:sz w:val="22"/>
                <w:szCs w:val="22"/>
                <w:lang w:eastAsia="es-CO"/>
              </w:rPr>
            </w:pPr>
            <w:r w:rsidRPr="001E37D8">
              <w:rPr>
                <w:rFonts w:eastAsia="Times New Roman" w:cs="Calibri"/>
                <w:b/>
                <w:bCs/>
                <w:sz w:val="22"/>
                <w:szCs w:val="22"/>
                <w:lang w:eastAsia="es-CO"/>
              </w:rPr>
              <w:t>14</w:t>
            </w:r>
          </w:p>
        </w:tc>
        <w:tc>
          <w:tcPr>
            <w:tcW w:w="3780" w:type="dxa"/>
            <w:vAlign w:val="center"/>
            <w:hideMark/>
          </w:tcPr>
          <w:p w14:paraId="0A09D750" w14:textId="77777777" w:rsidR="00DE3C06" w:rsidRPr="001E37D8" w:rsidRDefault="00DE3C06" w:rsidP="008A49D0">
            <w:pPr>
              <w:spacing w:after="0" w:line="240" w:lineRule="auto"/>
              <w:rPr>
                <w:rFonts w:eastAsia="Times New Roman" w:cs="Calibri"/>
                <w:sz w:val="22"/>
                <w:szCs w:val="22"/>
                <w:lang w:eastAsia="es-CO"/>
              </w:rPr>
            </w:pPr>
            <w:r w:rsidRPr="001E37D8">
              <w:rPr>
                <w:rFonts w:eastAsia="Times New Roman" w:cs="Calibri"/>
                <w:sz w:val="22"/>
                <w:szCs w:val="22"/>
                <w:lang w:eastAsia="es-CO"/>
              </w:rPr>
              <w:t>Reservas presupuestales</w:t>
            </w:r>
          </w:p>
        </w:tc>
        <w:tc>
          <w:tcPr>
            <w:tcW w:w="3118" w:type="dxa"/>
            <w:vAlign w:val="center"/>
            <w:hideMark/>
          </w:tcPr>
          <w:p w14:paraId="3695CF96" w14:textId="77777777" w:rsidR="00DE3C06" w:rsidRPr="001E37D8" w:rsidRDefault="00DE3C06" w:rsidP="008A49D0">
            <w:pPr>
              <w:spacing w:after="0" w:line="240" w:lineRule="auto"/>
              <w:rPr>
                <w:rFonts w:eastAsia="Times New Roman" w:cs="Calibri"/>
                <w:sz w:val="22"/>
                <w:szCs w:val="22"/>
                <w:lang w:eastAsia="es-CO"/>
              </w:rPr>
            </w:pPr>
            <w:r w:rsidRPr="001E37D8">
              <w:rPr>
                <w:rFonts w:eastAsia="Times New Roman" w:cs="Calibri"/>
                <w:sz w:val="22"/>
                <w:szCs w:val="22"/>
                <w:lang w:eastAsia="es-CO"/>
              </w:rPr>
              <w:t>7.2 Reservas presupuestales</w:t>
            </w:r>
          </w:p>
        </w:tc>
      </w:tr>
      <w:tr w:rsidR="00DE3C06" w:rsidRPr="001E37D8" w14:paraId="0EE0D8B7" w14:textId="77777777" w:rsidTr="008A49D0">
        <w:trPr>
          <w:trHeight w:val="264"/>
        </w:trPr>
        <w:tc>
          <w:tcPr>
            <w:tcW w:w="1040" w:type="dxa"/>
            <w:vAlign w:val="center"/>
            <w:hideMark/>
          </w:tcPr>
          <w:p w14:paraId="19869453" w14:textId="77777777" w:rsidR="00DE3C06" w:rsidRPr="001E37D8" w:rsidRDefault="00DE3C06" w:rsidP="008A49D0">
            <w:pPr>
              <w:spacing w:after="0" w:line="240" w:lineRule="auto"/>
              <w:jc w:val="center"/>
              <w:rPr>
                <w:rFonts w:eastAsia="Times New Roman" w:cs="Calibri"/>
                <w:b/>
                <w:bCs/>
                <w:sz w:val="22"/>
                <w:szCs w:val="22"/>
                <w:lang w:eastAsia="es-CO"/>
              </w:rPr>
            </w:pPr>
            <w:r w:rsidRPr="001E37D8">
              <w:rPr>
                <w:rFonts w:eastAsia="Times New Roman" w:cs="Calibri"/>
                <w:b/>
                <w:bCs/>
                <w:sz w:val="22"/>
                <w:szCs w:val="22"/>
                <w:lang w:eastAsia="es-CO"/>
              </w:rPr>
              <w:t>15</w:t>
            </w:r>
          </w:p>
        </w:tc>
        <w:tc>
          <w:tcPr>
            <w:tcW w:w="3780" w:type="dxa"/>
            <w:vAlign w:val="center"/>
            <w:hideMark/>
          </w:tcPr>
          <w:p w14:paraId="5AF4F03E" w14:textId="77777777" w:rsidR="00DE3C06" w:rsidRPr="001E37D8" w:rsidRDefault="00DE3C06" w:rsidP="008A49D0">
            <w:pPr>
              <w:spacing w:after="0" w:line="240" w:lineRule="auto"/>
              <w:rPr>
                <w:rFonts w:eastAsia="Times New Roman" w:cs="Calibri"/>
                <w:sz w:val="22"/>
                <w:szCs w:val="22"/>
                <w:lang w:eastAsia="es-CO"/>
              </w:rPr>
            </w:pPr>
            <w:r w:rsidRPr="001E37D8">
              <w:rPr>
                <w:rFonts w:eastAsia="Times New Roman" w:cs="Calibri"/>
                <w:sz w:val="22"/>
                <w:szCs w:val="22"/>
                <w:lang w:eastAsia="es-CO"/>
              </w:rPr>
              <w:t>Cuentas por pagar</w:t>
            </w:r>
          </w:p>
        </w:tc>
        <w:tc>
          <w:tcPr>
            <w:tcW w:w="3118" w:type="dxa"/>
            <w:vAlign w:val="center"/>
            <w:hideMark/>
          </w:tcPr>
          <w:p w14:paraId="01B16E4B" w14:textId="77777777" w:rsidR="00DE3C06" w:rsidRPr="001E37D8" w:rsidRDefault="00DE3C06" w:rsidP="008A49D0">
            <w:pPr>
              <w:spacing w:after="0" w:line="240" w:lineRule="auto"/>
              <w:rPr>
                <w:rFonts w:eastAsia="Times New Roman" w:cs="Calibri"/>
                <w:sz w:val="22"/>
                <w:szCs w:val="22"/>
                <w:lang w:eastAsia="es-CO"/>
              </w:rPr>
            </w:pPr>
            <w:r w:rsidRPr="001E37D8">
              <w:rPr>
                <w:rFonts w:eastAsia="Times New Roman" w:cs="Calibri"/>
                <w:sz w:val="22"/>
                <w:szCs w:val="22"/>
                <w:lang w:eastAsia="es-CO"/>
              </w:rPr>
              <w:t>7.3 Cuentas por pagar</w:t>
            </w:r>
          </w:p>
        </w:tc>
      </w:tr>
      <w:tr w:rsidR="00DE3C06" w:rsidRPr="001E37D8" w14:paraId="3558C52A" w14:textId="77777777" w:rsidTr="008A49D0">
        <w:trPr>
          <w:trHeight w:val="264"/>
        </w:trPr>
        <w:tc>
          <w:tcPr>
            <w:tcW w:w="1040" w:type="dxa"/>
            <w:vAlign w:val="center"/>
            <w:hideMark/>
          </w:tcPr>
          <w:p w14:paraId="62E69110" w14:textId="77777777" w:rsidR="00DE3C06" w:rsidRPr="001E37D8" w:rsidRDefault="00DE3C06" w:rsidP="008A49D0">
            <w:pPr>
              <w:spacing w:after="0" w:line="240" w:lineRule="auto"/>
              <w:jc w:val="center"/>
              <w:rPr>
                <w:rFonts w:eastAsia="Times New Roman" w:cs="Calibri"/>
                <w:b/>
                <w:bCs/>
                <w:sz w:val="22"/>
                <w:szCs w:val="22"/>
                <w:lang w:eastAsia="es-CO"/>
              </w:rPr>
            </w:pPr>
            <w:r w:rsidRPr="001E37D8">
              <w:rPr>
                <w:rFonts w:eastAsia="Times New Roman" w:cs="Calibri"/>
                <w:b/>
                <w:bCs/>
                <w:sz w:val="22"/>
                <w:szCs w:val="22"/>
                <w:lang w:eastAsia="es-CO"/>
              </w:rPr>
              <w:t>16</w:t>
            </w:r>
          </w:p>
        </w:tc>
        <w:tc>
          <w:tcPr>
            <w:tcW w:w="3780" w:type="dxa"/>
            <w:vAlign w:val="center"/>
            <w:hideMark/>
          </w:tcPr>
          <w:p w14:paraId="42580694" w14:textId="77777777" w:rsidR="00DE3C06" w:rsidRPr="001E37D8" w:rsidRDefault="00DE3C06" w:rsidP="008A49D0">
            <w:pPr>
              <w:spacing w:after="0" w:line="240" w:lineRule="auto"/>
              <w:rPr>
                <w:rFonts w:eastAsia="Times New Roman" w:cs="Calibri"/>
                <w:sz w:val="22"/>
                <w:szCs w:val="22"/>
                <w:lang w:eastAsia="es-CO"/>
              </w:rPr>
            </w:pPr>
            <w:r w:rsidRPr="001E37D8">
              <w:rPr>
                <w:rFonts w:eastAsia="Times New Roman" w:cs="Calibri"/>
                <w:sz w:val="22"/>
                <w:szCs w:val="22"/>
                <w:lang w:eastAsia="es-CO"/>
              </w:rPr>
              <w:t>Situación financiera y resultados</w:t>
            </w:r>
          </w:p>
        </w:tc>
        <w:tc>
          <w:tcPr>
            <w:tcW w:w="3118" w:type="dxa"/>
            <w:vMerge w:val="restart"/>
            <w:vAlign w:val="center"/>
            <w:hideMark/>
          </w:tcPr>
          <w:p w14:paraId="46012798" w14:textId="77777777" w:rsidR="00DE3C06" w:rsidRPr="001E37D8" w:rsidRDefault="00DE3C06" w:rsidP="008A49D0">
            <w:pPr>
              <w:spacing w:after="0" w:line="240" w:lineRule="auto"/>
              <w:rPr>
                <w:rFonts w:eastAsia="Times New Roman" w:cs="Calibri"/>
                <w:sz w:val="22"/>
                <w:szCs w:val="22"/>
                <w:lang w:eastAsia="es-CO"/>
              </w:rPr>
            </w:pPr>
            <w:r w:rsidRPr="001E37D8">
              <w:rPr>
                <w:rFonts w:eastAsia="Times New Roman" w:cs="Calibri"/>
                <w:sz w:val="22"/>
                <w:szCs w:val="22"/>
                <w:lang w:eastAsia="es-CO"/>
              </w:rPr>
              <w:t>7.4 Situación de los recursos</w:t>
            </w:r>
          </w:p>
        </w:tc>
      </w:tr>
      <w:tr w:rsidR="00DE3C06" w:rsidRPr="001E37D8" w14:paraId="777F89FE" w14:textId="77777777" w:rsidTr="008A49D0">
        <w:trPr>
          <w:trHeight w:val="264"/>
        </w:trPr>
        <w:tc>
          <w:tcPr>
            <w:tcW w:w="1040" w:type="dxa"/>
            <w:vAlign w:val="center"/>
          </w:tcPr>
          <w:p w14:paraId="2990B905" w14:textId="77777777" w:rsidR="00DE3C06" w:rsidRPr="001E37D8" w:rsidRDefault="00DE3C06" w:rsidP="008A49D0">
            <w:pPr>
              <w:spacing w:after="0" w:line="240" w:lineRule="auto"/>
              <w:jc w:val="center"/>
              <w:rPr>
                <w:rFonts w:eastAsia="Times New Roman" w:cs="Calibri"/>
                <w:b/>
                <w:bCs/>
                <w:sz w:val="22"/>
                <w:szCs w:val="22"/>
                <w:lang w:eastAsia="es-CO"/>
              </w:rPr>
            </w:pPr>
            <w:r w:rsidRPr="001E37D8">
              <w:rPr>
                <w:rFonts w:eastAsia="Times New Roman" w:cs="Calibri"/>
                <w:b/>
                <w:bCs/>
                <w:sz w:val="22"/>
                <w:szCs w:val="22"/>
                <w:lang w:eastAsia="es-CO"/>
              </w:rPr>
              <w:lastRenderedPageBreak/>
              <w:t>16A</w:t>
            </w:r>
          </w:p>
        </w:tc>
        <w:tc>
          <w:tcPr>
            <w:tcW w:w="3780" w:type="dxa"/>
            <w:vAlign w:val="center"/>
          </w:tcPr>
          <w:p w14:paraId="3016C9B6" w14:textId="77777777" w:rsidR="00DE3C06" w:rsidRPr="001E37D8" w:rsidRDefault="00DE3C06" w:rsidP="008A49D0">
            <w:pPr>
              <w:spacing w:after="0" w:line="240" w:lineRule="auto"/>
              <w:rPr>
                <w:rFonts w:eastAsia="Times New Roman" w:cs="Calibri"/>
                <w:sz w:val="22"/>
                <w:szCs w:val="22"/>
                <w:lang w:eastAsia="es-CO"/>
              </w:rPr>
            </w:pPr>
            <w:r w:rsidRPr="001E37D8">
              <w:rPr>
                <w:rFonts w:eastAsia="Times New Roman" w:cs="Calibri"/>
                <w:sz w:val="22"/>
                <w:szCs w:val="22"/>
                <w:lang w:eastAsia="es-CO"/>
              </w:rPr>
              <w:t>Estado de la Situación Financiera, Estado de Resultados y Estado de Cambios en el Patrimonio con sus respectivas notas con corte a 31 de diciembre de las vigencias 2022, 2023, 2024 y 2025 y 2026 con corte 31 de mayo</w:t>
            </w:r>
          </w:p>
        </w:tc>
        <w:tc>
          <w:tcPr>
            <w:tcW w:w="3118" w:type="dxa"/>
            <w:vMerge/>
            <w:vAlign w:val="center"/>
          </w:tcPr>
          <w:p w14:paraId="75451D3C" w14:textId="77777777" w:rsidR="00DE3C06" w:rsidRPr="001E37D8" w:rsidRDefault="00DE3C06" w:rsidP="008A49D0">
            <w:pPr>
              <w:spacing w:after="0" w:line="240" w:lineRule="auto"/>
              <w:rPr>
                <w:rFonts w:eastAsia="Times New Roman" w:cs="Calibri"/>
                <w:sz w:val="22"/>
                <w:szCs w:val="22"/>
                <w:lang w:eastAsia="es-CO"/>
              </w:rPr>
            </w:pPr>
          </w:p>
        </w:tc>
      </w:tr>
      <w:tr w:rsidR="00DE3C06" w:rsidRPr="001E37D8" w14:paraId="5979C66C" w14:textId="77777777" w:rsidTr="008A49D0">
        <w:trPr>
          <w:trHeight w:val="264"/>
        </w:trPr>
        <w:tc>
          <w:tcPr>
            <w:tcW w:w="1040" w:type="dxa"/>
            <w:vAlign w:val="center"/>
            <w:hideMark/>
          </w:tcPr>
          <w:p w14:paraId="72DDD792" w14:textId="77777777" w:rsidR="00DE3C06" w:rsidRPr="001E37D8" w:rsidRDefault="00DE3C06" w:rsidP="008A49D0">
            <w:pPr>
              <w:spacing w:after="0" w:line="240" w:lineRule="auto"/>
              <w:jc w:val="center"/>
              <w:rPr>
                <w:rFonts w:eastAsia="Times New Roman" w:cs="Calibri"/>
                <w:b/>
                <w:bCs/>
                <w:sz w:val="22"/>
                <w:szCs w:val="22"/>
                <w:lang w:eastAsia="es-CO"/>
              </w:rPr>
            </w:pPr>
            <w:r w:rsidRPr="001E37D8">
              <w:rPr>
                <w:rFonts w:eastAsia="Times New Roman" w:cs="Calibri"/>
                <w:b/>
                <w:bCs/>
                <w:sz w:val="22"/>
                <w:szCs w:val="22"/>
                <w:lang w:eastAsia="es-CO"/>
              </w:rPr>
              <w:t>17</w:t>
            </w:r>
          </w:p>
        </w:tc>
        <w:tc>
          <w:tcPr>
            <w:tcW w:w="3780" w:type="dxa"/>
            <w:vAlign w:val="center"/>
            <w:hideMark/>
          </w:tcPr>
          <w:p w14:paraId="43A3F772" w14:textId="77777777" w:rsidR="00DE3C06" w:rsidRPr="001E37D8" w:rsidRDefault="00DE3C06" w:rsidP="008A49D0">
            <w:pPr>
              <w:spacing w:after="0" w:line="240" w:lineRule="auto"/>
              <w:rPr>
                <w:rFonts w:eastAsia="Times New Roman" w:cs="Calibri"/>
                <w:sz w:val="22"/>
                <w:szCs w:val="22"/>
                <w:lang w:eastAsia="es-CO"/>
              </w:rPr>
            </w:pPr>
            <w:r w:rsidRPr="001E37D8">
              <w:rPr>
                <w:rFonts w:eastAsia="Times New Roman" w:cs="Calibri"/>
                <w:sz w:val="22"/>
                <w:szCs w:val="22"/>
                <w:lang w:eastAsia="es-CO"/>
              </w:rPr>
              <w:t>Otras Fuentes subcuenta PDET-FCP</w:t>
            </w:r>
          </w:p>
        </w:tc>
        <w:tc>
          <w:tcPr>
            <w:tcW w:w="3118" w:type="dxa"/>
            <w:vAlign w:val="center"/>
            <w:hideMark/>
          </w:tcPr>
          <w:p w14:paraId="0458B08D" w14:textId="77777777" w:rsidR="00DE3C06" w:rsidRPr="001E37D8" w:rsidRDefault="00DE3C06" w:rsidP="008A49D0">
            <w:pPr>
              <w:spacing w:after="0" w:line="240" w:lineRule="auto"/>
              <w:rPr>
                <w:rFonts w:eastAsia="Times New Roman" w:cs="Calibri"/>
                <w:sz w:val="22"/>
                <w:szCs w:val="22"/>
                <w:lang w:eastAsia="es-CO"/>
              </w:rPr>
            </w:pPr>
          </w:p>
        </w:tc>
      </w:tr>
      <w:tr w:rsidR="00DE3C06" w:rsidRPr="001E37D8" w14:paraId="7B354351" w14:textId="77777777" w:rsidTr="008A49D0">
        <w:trPr>
          <w:trHeight w:val="264"/>
        </w:trPr>
        <w:tc>
          <w:tcPr>
            <w:tcW w:w="1040" w:type="dxa"/>
            <w:vAlign w:val="center"/>
            <w:hideMark/>
          </w:tcPr>
          <w:p w14:paraId="2FBDF5BA" w14:textId="77777777" w:rsidR="00DE3C06" w:rsidRPr="001E37D8" w:rsidRDefault="00DE3C06" w:rsidP="008A49D0">
            <w:pPr>
              <w:spacing w:after="0" w:line="240" w:lineRule="auto"/>
              <w:jc w:val="center"/>
              <w:rPr>
                <w:rFonts w:eastAsia="Times New Roman" w:cs="Calibri"/>
                <w:b/>
                <w:bCs/>
                <w:sz w:val="22"/>
                <w:szCs w:val="22"/>
                <w:lang w:eastAsia="es-CO"/>
              </w:rPr>
            </w:pPr>
            <w:r w:rsidRPr="001E37D8">
              <w:rPr>
                <w:rFonts w:eastAsia="Times New Roman" w:cs="Calibri"/>
                <w:b/>
                <w:bCs/>
                <w:sz w:val="22"/>
                <w:szCs w:val="22"/>
                <w:lang w:eastAsia="es-CO"/>
              </w:rPr>
              <w:t>18</w:t>
            </w:r>
          </w:p>
        </w:tc>
        <w:tc>
          <w:tcPr>
            <w:tcW w:w="3780" w:type="dxa"/>
            <w:vAlign w:val="center"/>
            <w:hideMark/>
          </w:tcPr>
          <w:p w14:paraId="2588A7E7" w14:textId="77777777" w:rsidR="00DE3C06" w:rsidRPr="001E37D8" w:rsidRDefault="00DE3C06" w:rsidP="008A49D0">
            <w:pPr>
              <w:spacing w:after="0" w:line="240" w:lineRule="auto"/>
              <w:rPr>
                <w:rFonts w:eastAsia="Times New Roman" w:cs="Calibri"/>
                <w:sz w:val="22"/>
                <w:szCs w:val="22"/>
                <w:lang w:eastAsia="es-CO"/>
              </w:rPr>
            </w:pPr>
            <w:r w:rsidRPr="001E37D8">
              <w:rPr>
                <w:rFonts w:eastAsia="Times New Roman" w:cs="Calibri"/>
                <w:sz w:val="22"/>
                <w:szCs w:val="22"/>
                <w:lang w:eastAsia="es-CO"/>
              </w:rPr>
              <w:t>Bienes inmuebles</w:t>
            </w:r>
          </w:p>
        </w:tc>
        <w:tc>
          <w:tcPr>
            <w:tcW w:w="3118" w:type="dxa"/>
            <w:vAlign w:val="center"/>
            <w:hideMark/>
          </w:tcPr>
          <w:p w14:paraId="069E1FC4" w14:textId="77777777" w:rsidR="00DE3C06" w:rsidRPr="001E37D8" w:rsidRDefault="00DE3C06" w:rsidP="008A49D0">
            <w:pPr>
              <w:spacing w:after="0" w:line="240" w:lineRule="auto"/>
              <w:rPr>
                <w:rFonts w:eastAsia="Times New Roman" w:cs="Calibri"/>
                <w:sz w:val="22"/>
                <w:szCs w:val="22"/>
                <w:lang w:eastAsia="es-CO"/>
              </w:rPr>
            </w:pPr>
            <w:r w:rsidRPr="001E37D8">
              <w:rPr>
                <w:rFonts w:eastAsia="Times New Roman" w:cs="Calibri"/>
                <w:sz w:val="22"/>
                <w:szCs w:val="22"/>
                <w:lang w:eastAsia="es-CO"/>
              </w:rPr>
              <w:t>7.5 Bienes muebles e inmuebles</w:t>
            </w:r>
          </w:p>
        </w:tc>
      </w:tr>
      <w:tr w:rsidR="00DE3C06" w:rsidRPr="001E37D8" w14:paraId="3C5A5737" w14:textId="77777777" w:rsidTr="008A49D0">
        <w:trPr>
          <w:trHeight w:val="264"/>
        </w:trPr>
        <w:tc>
          <w:tcPr>
            <w:tcW w:w="1040" w:type="dxa"/>
            <w:noWrap/>
            <w:vAlign w:val="center"/>
            <w:hideMark/>
          </w:tcPr>
          <w:p w14:paraId="45648591" w14:textId="77777777" w:rsidR="00DE3C06" w:rsidRPr="001E37D8" w:rsidRDefault="00DE3C06" w:rsidP="008A49D0">
            <w:pPr>
              <w:spacing w:after="0" w:line="240" w:lineRule="auto"/>
              <w:jc w:val="center"/>
              <w:rPr>
                <w:rFonts w:eastAsia="Times New Roman" w:cs="Calibri"/>
                <w:b/>
                <w:bCs/>
                <w:sz w:val="22"/>
                <w:szCs w:val="22"/>
                <w:lang w:eastAsia="es-CO"/>
              </w:rPr>
            </w:pPr>
            <w:r w:rsidRPr="001E37D8">
              <w:rPr>
                <w:rFonts w:eastAsia="Times New Roman" w:cs="Calibri"/>
                <w:b/>
                <w:bCs/>
                <w:sz w:val="22"/>
                <w:szCs w:val="22"/>
                <w:lang w:eastAsia="es-CO"/>
              </w:rPr>
              <w:t>19</w:t>
            </w:r>
          </w:p>
        </w:tc>
        <w:tc>
          <w:tcPr>
            <w:tcW w:w="3780" w:type="dxa"/>
            <w:noWrap/>
            <w:vAlign w:val="bottom"/>
            <w:hideMark/>
          </w:tcPr>
          <w:p w14:paraId="3C64F15B" w14:textId="77777777" w:rsidR="00DE3C06" w:rsidRPr="001E37D8" w:rsidRDefault="00DE3C06" w:rsidP="008A49D0">
            <w:pPr>
              <w:spacing w:after="0" w:line="240" w:lineRule="auto"/>
              <w:rPr>
                <w:rFonts w:eastAsia="Times New Roman" w:cs="Calibri"/>
                <w:sz w:val="22"/>
                <w:szCs w:val="22"/>
                <w:lang w:eastAsia="es-CO"/>
              </w:rPr>
            </w:pPr>
            <w:r w:rsidRPr="001E37D8">
              <w:rPr>
                <w:rFonts w:eastAsia="Times New Roman" w:cs="Calibri"/>
                <w:sz w:val="22"/>
                <w:szCs w:val="22"/>
                <w:lang w:eastAsia="es-CO"/>
              </w:rPr>
              <w:t>Contratación PGN</w:t>
            </w:r>
          </w:p>
        </w:tc>
        <w:tc>
          <w:tcPr>
            <w:tcW w:w="3118" w:type="dxa"/>
            <w:vMerge w:val="restart"/>
            <w:noWrap/>
            <w:vAlign w:val="bottom"/>
          </w:tcPr>
          <w:p w14:paraId="078BF632" w14:textId="77777777" w:rsidR="00DE3C06" w:rsidRPr="001E37D8" w:rsidRDefault="00DE3C06" w:rsidP="008A49D0">
            <w:pPr>
              <w:rPr>
                <w:rFonts w:eastAsia="Times New Roman" w:cs="Calibri"/>
                <w:sz w:val="22"/>
                <w:szCs w:val="22"/>
                <w:lang w:eastAsia="es-CO"/>
              </w:rPr>
            </w:pPr>
            <w:r w:rsidRPr="001E37D8">
              <w:rPr>
                <w:rFonts w:eastAsia="Times New Roman" w:cs="Calibri"/>
                <w:sz w:val="22"/>
                <w:szCs w:val="22"/>
                <w:lang w:eastAsia="es-CO"/>
              </w:rPr>
              <w:t>7.9 Contratación</w:t>
            </w:r>
          </w:p>
          <w:p w14:paraId="1F70903E" w14:textId="77777777" w:rsidR="00DE3C06" w:rsidRPr="001E37D8" w:rsidRDefault="00DE3C06" w:rsidP="008A49D0">
            <w:pPr>
              <w:spacing w:after="0" w:line="240" w:lineRule="auto"/>
              <w:ind w:left="355"/>
              <w:rPr>
                <w:rFonts w:eastAsia="Times New Roman" w:cs="Calibri"/>
                <w:sz w:val="22"/>
                <w:szCs w:val="22"/>
                <w:lang w:eastAsia="es-CO"/>
              </w:rPr>
            </w:pPr>
          </w:p>
        </w:tc>
      </w:tr>
      <w:tr w:rsidR="00DE3C06" w:rsidRPr="001E37D8" w14:paraId="2AB77716" w14:textId="77777777" w:rsidTr="008A49D0">
        <w:trPr>
          <w:trHeight w:val="264"/>
        </w:trPr>
        <w:tc>
          <w:tcPr>
            <w:tcW w:w="1040" w:type="dxa"/>
            <w:noWrap/>
            <w:vAlign w:val="center"/>
            <w:hideMark/>
          </w:tcPr>
          <w:p w14:paraId="70D0B7C3" w14:textId="77777777" w:rsidR="00DE3C06" w:rsidRPr="001E37D8" w:rsidRDefault="00DE3C06" w:rsidP="008A49D0">
            <w:pPr>
              <w:spacing w:after="0" w:line="240" w:lineRule="auto"/>
              <w:jc w:val="center"/>
              <w:rPr>
                <w:rFonts w:eastAsia="Times New Roman" w:cs="Calibri"/>
                <w:b/>
                <w:bCs/>
                <w:sz w:val="22"/>
                <w:szCs w:val="22"/>
                <w:lang w:eastAsia="es-CO"/>
              </w:rPr>
            </w:pPr>
            <w:r w:rsidRPr="001E37D8">
              <w:rPr>
                <w:rFonts w:eastAsia="Times New Roman" w:cs="Calibri"/>
                <w:b/>
                <w:bCs/>
                <w:sz w:val="22"/>
                <w:szCs w:val="22"/>
                <w:lang w:eastAsia="es-CO"/>
              </w:rPr>
              <w:t>20</w:t>
            </w:r>
          </w:p>
        </w:tc>
        <w:tc>
          <w:tcPr>
            <w:tcW w:w="3780" w:type="dxa"/>
            <w:noWrap/>
            <w:vAlign w:val="bottom"/>
            <w:hideMark/>
          </w:tcPr>
          <w:p w14:paraId="1226AB6E" w14:textId="77777777" w:rsidR="00DE3C06" w:rsidRPr="001E37D8" w:rsidRDefault="00DE3C06" w:rsidP="008A49D0">
            <w:pPr>
              <w:spacing w:after="0" w:line="240" w:lineRule="auto"/>
              <w:rPr>
                <w:rFonts w:eastAsia="Times New Roman" w:cs="Calibri"/>
                <w:sz w:val="22"/>
                <w:szCs w:val="22"/>
                <w:lang w:eastAsia="es-CO"/>
              </w:rPr>
            </w:pPr>
            <w:r w:rsidRPr="001E37D8">
              <w:rPr>
                <w:rFonts w:eastAsia="Times New Roman" w:cs="Calibri"/>
                <w:sz w:val="22"/>
                <w:szCs w:val="22"/>
                <w:lang w:eastAsia="es-CO"/>
              </w:rPr>
              <w:t>Contratación FCP</w:t>
            </w:r>
          </w:p>
        </w:tc>
        <w:tc>
          <w:tcPr>
            <w:tcW w:w="3118" w:type="dxa"/>
            <w:vMerge/>
            <w:noWrap/>
            <w:vAlign w:val="bottom"/>
          </w:tcPr>
          <w:p w14:paraId="708B4A8A" w14:textId="77777777" w:rsidR="00DE3C06" w:rsidRPr="001E37D8" w:rsidRDefault="00DE3C06" w:rsidP="008A49D0">
            <w:pPr>
              <w:spacing w:after="0" w:line="240" w:lineRule="auto"/>
              <w:rPr>
                <w:rFonts w:eastAsia="Times New Roman" w:cs="Calibri"/>
                <w:sz w:val="22"/>
                <w:szCs w:val="22"/>
                <w:lang w:eastAsia="es-CO"/>
              </w:rPr>
            </w:pPr>
          </w:p>
        </w:tc>
      </w:tr>
      <w:tr w:rsidR="00DE3C06" w:rsidRPr="001E37D8" w14:paraId="6DE0DBF6" w14:textId="77777777" w:rsidTr="008A49D0">
        <w:trPr>
          <w:trHeight w:val="264"/>
        </w:trPr>
        <w:tc>
          <w:tcPr>
            <w:tcW w:w="1040" w:type="dxa"/>
            <w:vAlign w:val="center"/>
            <w:hideMark/>
          </w:tcPr>
          <w:p w14:paraId="5B6050A5" w14:textId="77777777" w:rsidR="00DE3C06" w:rsidRPr="001E37D8" w:rsidRDefault="00DE3C06" w:rsidP="008A49D0">
            <w:pPr>
              <w:spacing w:after="0" w:line="240" w:lineRule="auto"/>
              <w:jc w:val="center"/>
              <w:rPr>
                <w:rFonts w:eastAsia="Times New Roman" w:cs="Calibri"/>
                <w:b/>
                <w:bCs/>
                <w:sz w:val="22"/>
                <w:szCs w:val="22"/>
                <w:lang w:eastAsia="es-CO"/>
              </w:rPr>
            </w:pPr>
            <w:r w:rsidRPr="001E37D8">
              <w:rPr>
                <w:rFonts w:eastAsia="Times New Roman" w:cs="Calibri"/>
                <w:b/>
                <w:bCs/>
                <w:sz w:val="22"/>
                <w:szCs w:val="22"/>
                <w:lang w:eastAsia="es-CO"/>
              </w:rPr>
              <w:t>21</w:t>
            </w:r>
          </w:p>
        </w:tc>
        <w:tc>
          <w:tcPr>
            <w:tcW w:w="3780" w:type="dxa"/>
            <w:vAlign w:val="center"/>
            <w:hideMark/>
          </w:tcPr>
          <w:p w14:paraId="1902B8FD" w14:textId="77777777" w:rsidR="00DE3C06" w:rsidRPr="001E37D8" w:rsidRDefault="00DE3C06" w:rsidP="008A49D0">
            <w:pPr>
              <w:spacing w:after="0" w:line="240" w:lineRule="auto"/>
              <w:rPr>
                <w:rFonts w:eastAsia="Times New Roman" w:cs="Calibri"/>
                <w:sz w:val="22"/>
                <w:szCs w:val="22"/>
                <w:lang w:eastAsia="es-CO"/>
              </w:rPr>
            </w:pPr>
            <w:r w:rsidRPr="001E37D8">
              <w:rPr>
                <w:rFonts w:eastAsia="Times New Roman" w:cs="Calibri"/>
                <w:sz w:val="22"/>
                <w:szCs w:val="22"/>
                <w:lang w:eastAsia="es-CO"/>
              </w:rPr>
              <w:t>Estudios</w:t>
            </w:r>
          </w:p>
        </w:tc>
        <w:tc>
          <w:tcPr>
            <w:tcW w:w="3118" w:type="dxa"/>
            <w:vAlign w:val="center"/>
            <w:hideMark/>
          </w:tcPr>
          <w:p w14:paraId="187F7CBB" w14:textId="77777777" w:rsidR="00DE3C06" w:rsidRPr="001E37D8" w:rsidRDefault="00DE3C06" w:rsidP="008A49D0">
            <w:pPr>
              <w:spacing w:after="0" w:line="240" w:lineRule="auto"/>
              <w:rPr>
                <w:rFonts w:eastAsia="Times New Roman" w:cs="Calibri"/>
                <w:sz w:val="22"/>
                <w:szCs w:val="22"/>
                <w:lang w:eastAsia="es-CO"/>
              </w:rPr>
            </w:pPr>
            <w:r w:rsidRPr="001E37D8">
              <w:rPr>
                <w:rFonts w:eastAsia="Times New Roman" w:cs="Calibri"/>
                <w:sz w:val="22"/>
                <w:szCs w:val="22"/>
                <w:lang w:eastAsia="es-CO"/>
              </w:rPr>
              <w:t>8.2 Estudios</w:t>
            </w:r>
          </w:p>
        </w:tc>
      </w:tr>
      <w:tr w:rsidR="00DE3C06" w:rsidRPr="001E37D8" w14:paraId="37465C61" w14:textId="77777777" w:rsidTr="008A49D0">
        <w:trPr>
          <w:trHeight w:val="264"/>
        </w:trPr>
        <w:tc>
          <w:tcPr>
            <w:tcW w:w="1040" w:type="dxa"/>
            <w:vAlign w:val="center"/>
            <w:hideMark/>
          </w:tcPr>
          <w:p w14:paraId="666357E3" w14:textId="77777777" w:rsidR="00DE3C06" w:rsidRPr="001E37D8" w:rsidRDefault="00DE3C06" w:rsidP="008A49D0">
            <w:pPr>
              <w:spacing w:after="0" w:line="240" w:lineRule="auto"/>
              <w:jc w:val="center"/>
              <w:rPr>
                <w:rFonts w:eastAsia="Times New Roman" w:cs="Calibri"/>
                <w:b/>
                <w:bCs/>
                <w:sz w:val="22"/>
                <w:szCs w:val="22"/>
                <w:lang w:eastAsia="es-CO"/>
              </w:rPr>
            </w:pPr>
            <w:r w:rsidRPr="001E37D8">
              <w:rPr>
                <w:rFonts w:eastAsia="Times New Roman" w:cs="Calibri"/>
                <w:b/>
                <w:bCs/>
                <w:sz w:val="22"/>
                <w:szCs w:val="22"/>
                <w:lang w:eastAsia="es-CO"/>
              </w:rPr>
              <w:t>22</w:t>
            </w:r>
          </w:p>
        </w:tc>
        <w:tc>
          <w:tcPr>
            <w:tcW w:w="3780" w:type="dxa"/>
            <w:vAlign w:val="center"/>
            <w:hideMark/>
          </w:tcPr>
          <w:p w14:paraId="0C2F927C" w14:textId="77777777" w:rsidR="00DE3C06" w:rsidRPr="001E37D8" w:rsidRDefault="00DE3C06" w:rsidP="008A49D0">
            <w:pPr>
              <w:spacing w:after="0" w:line="240" w:lineRule="auto"/>
              <w:rPr>
                <w:rFonts w:eastAsia="Times New Roman" w:cs="Calibri"/>
                <w:sz w:val="22"/>
                <w:szCs w:val="22"/>
                <w:lang w:eastAsia="es-CO"/>
              </w:rPr>
            </w:pPr>
            <w:r w:rsidRPr="001E37D8">
              <w:rPr>
                <w:rFonts w:eastAsia="Times New Roman" w:cs="Calibri"/>
                <w:sz w:val="22"/>
                <w:szCs w:val="22"/>
                <w:lang w:eastAsia="es-CO"/>
              </w:rPr>
              <w:t>Proyectos por recursos Presupuesto General de la Nación</w:t>
            </w:r>
          </w:p>
        </w:tc>
        <w:tc>
          <w:tcPr>
            <w:tcW w:w="3118" w:type="dxa"/>
            <w:vMerge w:val="restart"/>
            <w:vAlign w:val="center"/>
            <w:hideMark/>
          </w:tcPr>
          <w:p w14:paraId="18134B8F" w14:textId="77777777" w:rsidR="00DE3C06" w:rsidRPr="001E37D8" w:rsidRDefault="00DE3C06" w:rsidP="008A49D0">
            <w:pPr>
              <w:spacing w:after="0" w:line="240" w:lineRule="auto"/>
              <w:rPr>
                <w:rFonts w:eastAsia="Times New Roman" w:cs="Calibri"/>
                <w:sz w:val="22"/>
                <w:szCs w:val="22"/>
                <w:lang w:eastAsia="es-CO"/>
              </w:rPr>
            </w:pPr>
            <w:r w:rsidRPr="001E37D8">
              <w:rPr>
                <w:rFonts w:eastAsia="Times New Roman" w:cs="Calibri"/>
                <w:sz w:val="22"/>
                <w:szCs w:val="22"/>
                <w:lang w:eastAsia="es-CO"/>
              </w:rPr>
              <w:t>8.3 Proyectos: (APP, Convenios)</w:t>
            </w:r>
          </w:p>
        </w:tc>
      </w:tr>
      <w:tr w:rsidR="00DE3C06" w:rsidRPr="001E37D8" w14:paraId="27C774C3" w14:textId="77777777" w:rsidTr="008A49D0">
        <w:trPr>
          <w:trHeight w:val="528"/>
        </w:trPr>
        <w:tc>
          <w:tcPr>
            <w:tcW w:w="1040" w:type="dxa"/>
            <w:vAlign w:val="center"/>
            <w:hideMark/>
          </w:tcPr>
          <w:p w14:paraId="2152CE41" w14:textId="77777777" w:rsidR="00DE3C06" w:rsidRPr="001E37D8" w:rsidRDefault="00DE3C06" w:rsidP="008A49D0">
            <w:pPr>
              <w:spacing w:after="0" w:line="240" w:lineRule="auto"/>
              <w:jc w:val="center"/>
              <w:rPr>
                <w:rFonts w:eastAsia="Times New Roman" w:cs="Calibri"/>
                <w:b/>
                <w:bCs/>
                <w:sz w:val="22"/>
                <w:szCs w:val="22"/>
                <w:lang w:eastAsia="es-CO"/>
              </w:rPr>
            </w:pPr>
            <w:r w:rsidRPr="001E37D8">
              <w:rPr>
                <w:rFonts w:eastAsia="Times New Roman" w:cs="Calibri"/>
                <w:b/>
                <w:bCs/>
                <w:sz w:val="22"/>
                <w:szCs w:val="22"/>
                <w:lang w:eastAsia="es-CO"/>
              </w:rPr>
              <w:t>23</w:t>
            </w:r>
          </w:p>
        </w:tc>
        <w:tc>
          <w:tcPr>
            <w:tcW w:w="3780" w:type="dxa"/>
            <w:vAlign w:val="center"/>
            <w:hideMark/>
          </w:tcPr>
          <w:p w14:paraId="00BF655D" w14:textId="77777777" w:rsidR="00DE3C06" w:rsidRPr="001E37D8" w:rsidRDefault="00DE3C06" w:rsidP="008A49D0">
            <w:pPr>
              <w:spacing w:after="0" w:line="240" w:lineRule="auto"/>
              <w:rPr>
                <w:rFonts w:eastAsia="Times New Roman" w:cs="Calibri"/>
                <w:sz w:val="22"/>
                <w:szCs w:val="22"/>
                <w:lang w:eastAsia="es-CO"/>
              </w:rPr>
            </w:pPr>
            <w:r w:rsidRPr="001E37D8">
              <w:rPr>
                <w:rFonts w:eastAsia="Times New Roman" w:cs="Calibri"/>
                <w:sz w:val="22"/>
                <w:szCs w:val="22"/>
                <w:lang w:eastAsia="es-CO"/>
              </w:rPr>
              <w:t>Proyectos por recursos de la subcuenta Fondo Colombia en PAZ</w:t>
            </w:r>
          </w:p>
        </w:tc>
        <w:tc>
          <w:tcPr>
            <w:tcW w:w="3118" w:type="dxa"/>
            <w:vMerge/>
            <w:vAlign w:val="center"/>
            <w:hideMark/>
          </w:tcPr>
          <w:p w14:paraId="49A05AC8" w14:textId="77777777" w:rsidR="00DE3C06" w:rsidRPr="001E37D8" w:rsidRDefault="00DE3C06" w:rsidP="008A49D0">
            <w:pPr>
              <w:spacing w:after="0" w:line="240" w:lineRule="auto"/>
              <w:rPr>
                <w:rFonts w:eastAsia="Times New Roman" w:cs="Calibri"/>
                <w:sz w:val="22"/>
                <w:szCs w:val="22"/>
                <w:lang w:eastAsia="es-CO"/>
              </w:rPr>
            </w:pPr>
          </w:p>
        </w:tc>
      </w:tr>
      <w:tr w:rsidR="00DE3C06" w:rsidRPr="001E37D8" w14:paraId="2091D6EB" w14:textId="77777777" w:rsidTr="008A49D0">
        <w:trPr>
          <w:trHeight w:val="264"/>
        </w:trPr>
        <w:tc>
          <w:tcPr>
            <w:tcW w:w="1040" w:type="dxa"/>
            <w:vAlign w:val="center"/>
            <w:hideMark/>
          </w:tcPr>
          <w:p w14:paraId="29D7346F" w14:textId="77777777" w:rsidR="00DE3C06" w:rsidRPr="001E37D8" w:rsidRDefault="00DE3C06" w:rsidP="008A49D0">
            <w:pPr>
              <w:spacing w:after="0" w:line="240" w:lineRule="auto"/>
              <w:jc w:val="center"/>
              <w:rPr>
                <w:rFonts w:eastAsia="Times New Roman" w:cs="Calibri"/>
                <w:b/>
                <w:bCs/>
                <w:sz w:val="22"/>
                <w:szCs w:val="22"/>
                <w:lang w:eastAsia="es-CO"/>
              </w:rPr>
            </w:pPr>
            <w:r w:rsidRPr="001E37D8">
              <w:rPr>
                <w:rFonts w:eastAsia="Times New Roman" w:cs="Calibri"/>
                <w:b/>
                <w:bCs/>
                <w:sz w:val="22"/>
                <w:szCs w:val="22"/>
                <w:lang w:eastAsia="es-CO"/>
              </w:rPr>
              <w:t>24</w:t>
            </w:r>
          </w:p>
        </w:tc>
        <w:tc>
          <w:tcPr>
            <w:tcW w:w="3780" w:type="dxa"/>
            <w:vAlign w:val="center"/>
            <w:hideMark/>
          </w:tcPr>
          <w:p w14:paraId="400346C3" w14:textId="77777777" w:rsidR="00DE3C06" w:rsidRPr="001E37D8" w:rsidRDefault="00DE3C06" w:rsidP="008A49D0">
            <w:pPr>
              <w:spacing w:after="0" w:line="240" w:lineRule="auto"/>
              <w:rPr>
                <w:rFonts w:eastAsia="Times New Roman" w:cs="Calibri"/>
                <w:sz w:val="22"/>
                <w:szCs w:val="22"/>
                <w:lang w:eastAsia="es-CO"/>
              </w:rPr>
            </w:pPr>
            <w:r w:rsidRPr="001E37D8">
              <w:rPr>
                <w:rFonts w:eastAsia="Times New Roman" w:cs="Calibri"/>
                <w:sz w:val="22"/>
                <w:szCs w:val="22"/>
                <w:lang w:eastAsia="es-CO"/>
              </w:rPr>
              <w:t>Proyectos de Inversión</w:t>
            </w:r>
          </w:p>
        </w:tc>
        <w:tc>
          <w:tcPr>
            <w:tcW w:w="3118" w:type="dxa"/>
            <w:vAlign w:val="center"/>
            <w:hideMark/>
          </w:tcPr>
          <w:p w14:paraId="58BE88C5" w14:textId="77777777" w:rsidR="00DE3C06" w:rsidRPr="001E37D8" w:rsidRDefault="00DE3C06" w:rsidP="008A49D0">
            <w:pPr>
              <w:spacing w:after="0" w:line="240" w:lineRule="auto"/>
              <w:rPr>
                <w:rFonts w:eastAsia="Times New Roman" w:cs="Calibri"/>
                <w:sz w:val="22"/>
                <w:szCs w:val="22"/>
                <w:lang w:eastAsia="es-CO"/>
              </w:rPr>
            </w:pPr>
            <w:r w:rsidRPr="001E37D8">
              <w:rPr>
                <w:rFonts w:eastAsia="Times New Roman" w:cs="Calibri"/>
                <w:sz w:val="22"/>
                <w:szCs w:val="22"/>
                <w:lang w:eastAsia="es-CO"/>
              </w:rPr>
              <w:t>8.4 Proyectos de inversión</w:t>
            </w:r>
          </w:p>
        </w:tc>
      </w:tr>
      <w:tr w:rsidR="00DE3C06" w:rsidRPr="001E37D8" w14:paraId="1BA117FE" w14:textId="77777777" w:rsidTr="008A49D0">
        <w:trPr>
          <w:trHeight w:val="528"/>
        </w:trPr>
        <w:tc>
          <w:tcPr>
            <w:tcW w:w="1040" w:type="dxa"/>
            <w:vAlign w:val="center"/>
            <w:hideMark/>
          </w:tcPr>
          <w:p w14:paraId="15EEB7AF" w14:textId="77777777" w:rsidR="00DE3C06" w:rsidRPr="001E37D8" w:rsidRDefault="00DE3C06" w:rsidP="008A49D0">
            <w:pPr>
              <w:spacing w:after="0" w:line="240" w:lineRule="auto"/>
              <w:jc w:val="center"/>
              <w:rPr>
                <w:rFonts w:eastAsia="Times New Roman" w:cs="Calibri"/>
                <w:b/>
                <w:bCs/>
                <w:sz w:val="22"/>
                <w:szCs w:val="22"/>
                <w:lang w:eastAsia="es-CO"/>
              </w:rPr>
            </w:pPr>
            <w:r w:rsidRPr="001E37D8">
              <w:rPr>
                <w:rFonts w:eastAsia="Times New Roman" w:cs="Calibri"/>
                <w:b/>
                <w:bCs/>
                <w:sz w:val="22"/>
                <w:szCs w:val="22"/>
                <w:lang w:eastAsia="es-CO"/>
              </w:rPr>
              <w:t>25</w:t>
            </w:r>
          </w:p>
        </w:tc>
        <w:tc>
          <w:tcPr>
            <w:tcW w:w="3780" w:type="dxa"/>
            <w:vAlign w:val="center"/>
            <w:hideMark/>
          </w:tcPr>
          <w:p w14:paraId="020984E7" w14:textId="77777777" w:rsidR="00DE3C06" w:rsidRPr="001E37D8" w:rsidRDefault="00DE3C06" w:rsidP="008A49D0">
            <w:pPr>
              <w:spacing w:after="0" w:line="240" w:lineRule="auto"/>
              <w:rPr>
                <w:rFonts w:eastAsia="Times New Roman" w:cs="Calibri"/>
                <w:sz w:val="22"/>
                <w:szCs w:val="22"/>
                <w:lang w:eastAsia="es-CO"/>
              </w:rPr>
            </w:pPr>
            <w:r w:rsidRPr="001E37D8">
              <w:rPr>
                <w:rFonts w:eastAsia="Times New Roman" w:cs="Calibri"/>
                <w:sz w:val="22"/>
                <w:szCs w:val="22"/>
                <w:lang w:eastAsia="es-CO"/>
              </w:rPr>
              <w:t>Obras Públicas adelantadas, incluyendo descripción general, estado y valor.</w:t>
            </w:r>
          </w:p>
        </w:tc>
        <w:tc>
          <w:tcPr>
            <w:tcW w:w="3118" w:type="dxa"/>
            <w:vAlign w:val="center"/>
            <w:hideMark/>
          </w:tcPr>
          <w:p w14:paraId="423C3A9B" w14:textId="77777777" w:rsidR="00DE3C06" w:rsidRPr="001E37D8" w:rsidRDefault="00DE3C06" w:rsidP="008A49D0">
            <w:pPr>
              <w:spacing w:after="0" w:line="240" w:lineRule="auto"/>
              <w:rPr>
                <w:rFonts w:eastAsia="Times New Roman" w:cs="Calibri"/>
                <w:sz w:val="22"/>
                <w:szCs w:val="22"/>
                <w:lang w:eastAsia="es-CO"/>
              </w:rPr>
            </w:pPr>
            <w:r w:rsidRPr="001E37D8">
              <w:rPr>
                <w:rFonts w:eastAsia="Times New Roman" w:cs="Calibri"/>
                <w:sz w:val="22"/>
                <w:szCs w:val="22"/>
                <w:lang w:eastAsia="es-CO"/>
              </w:rPr>
              <w:t>8.5 Obras públicas</w:t>
            </w:r>
          </w:p>
        </w:tc>
      </w:tr>
      <w:tr w:rsidR="00DE3C06" w:rsidRPr="001E37D8" w14:paraId="7CC2EB3A" w14:textId="77777777" w:rsidTr="008A49D0">
        <w:trPr>
          <w:trHeight w:val="264"/>
        </w:trPr>
        <w:tc>
          <w:tcPr>
            <w:tcW w:w="1040" w:type="dxa"/>
            <w:vAlign w:val="center"/>
            <w:hideMark/>
          </w:tcPr>
          <w:p w14:paraId="0E2220ED" w14:textId="77777777" w:rsidR="00DE3C06" w:rsidRPr="001E37D8" w:rsidRDefault="00DE3C06" w:rsidP="008A49D0">
            <w:pPr>
              <w:spacing w:after="0" w:line="240" w:lineRule="auto"/>
              <w:jc w:val="center"/>
              <w:rPr>
                <w:rFonts w:eastAsia="Times New Roman" w:cs="Calibri"/>
                <w:b/>
                <w:bCs/>
                <w:sz w:val="22"/>
                <w:szCs w:val="22"/>
                <w:lang w:eastAsia="es-CO"/>
              </w:rPr>
            </w:pPr>
            <w:r w:rsidRPr="001E37D8">
              <w:rPr>
                <w:rFonts w:eastAsia="Times New Roman" w:cs="Calibri"/>
                <w:b/>
                <w:bCs/>
                <w:sz w:val="22"/>
                <w:szCs w:val="22"/>
                <w:lang w:eastAsia="es-CO"/>
              </w:rPr>
              <w:t xml:space="preserve">26 </w:t>
            </w:r>
            <w:proofErr w:type="gramStart"/>
            <w:r w:rsidRPr="001E37D8">
              <w:rPr>
                <w:rFonts w:eastAsia="Times New Roman" w:cs="Calibri"/>
                <w:b/>
                <w:bCs/>
                <w:sz w:val="22"/>
                <w:szCs w:val="22"/>
                <w:lang w:eastAsia="es-CO"/>
              </w:rPr>
              <w:t>A</w:t>
            </w:r>
            <w:proofErr w:type="gramEnd"/>
          </w:p>
        </w:tc>
        <w:tc>
          <w:tcPr>
            <w:tcW w:w="3780" w:type="dxa"/>
            <w:vAlign w:val="center"/>
            <w:hideMark/>
          </w:tcPr>
          <w:p w14:paraId="4E55D9AC" w14:textId="77777777" w:rsidR="00DE3C06" w:rsidRPr="001E37D8" w:rsidRDefault="00DE3C06" w:rsidP="008A49D0">
            <w:pPr>
              <w:spacing w:after="0" w:line="240" w:lineRule="auto"/>
              <w:rPr>
                <w:rFonts w:eastAsia="Times New Roman" w:cs="Calibri"/>
                <w:sz w:val="22"/>
                <w:szCs w:val="22"/>
                <w:lang w:eastAsia="es-CO"/>
              </w:rPr>
            </w:pPr>
            <w:r w:rsidRPr="001E37D8">
              <w:rPr>
                <w:rFonts w:eastAsia="Times New Roman" w:cs="Calibri"/>
                <w:sz w:val="22"/>
                <w:szCs w:val="22"/>
                <w:lang w:eastAsia="es-CO"/>
              </w:rPr>
              <w:t>Instancias externas, nivel nacional (NAL)</w:t>
            </w:r>
          </w:p>
        </w:tc>
        <w:tc>
          <w:tcPr>
            <w:tcW w:w="3118" w:type="dxa"/>
            <w:vMerge w:val="restart"/>
            <w:vAlign w:val="center"/>
            <w:hideMark/>
          </w:tcPr>
          <w:p w14:paraId="4E8C7074" w14:textId="77777777" w:rsidR="00DE3C06" w:rsidRPr="001E37D8" w:rsidRDefault="00DE3C06" w:rsidP="008A49D0">
            <w:pPr>
              <w:spacing w:after="0" w:line="240" w:lineRule="auto"/>
              <w:rPr>
                <w:rFonts w:eastAsia="Times New Roman" w:cs="Calibri"/>
                <w:sz w:val="22"/>
                <w:szCs w:val="22"/>
                <w:lang w:eastAsia="es-CO"/>
              </w:rPr>
            </w:pPr>
            <w:r w:rsidRPr="001E37D8">
              <w:rPr>
                <w:rFonts w:eastAsia="Times New Roman" w:cs="Calibri"/>
                <w:sz w:val="22"/>
                <w:szCs w:val="22"/>
                <w:lang w:eastAsia="es-CO"/>
              </w:rPr>
              <w:t>9.1 Instancias de participación externas</w:t>
            </w:r>
          </w:p>
        </w:tc>
      </w:tr>
      <w:tr w:rsidR="00DE3C06" w:rsidRPr="001E37D8" w14:paraId="2B0089ED" w14:textId="77777777" w:rsidTr="008A49D0">
        <w:trPr>
          <w:trHeight w:val="264"/>
        </w:trPr>
        <w:tc>
          <w:tcPr>
            <w:tcW w:w="1040" w:type="dxa"/>
            <w:vAlign w:val="center"/>
            <w:hideMark/>
          </w:tcPr>
          <w:p w14:paraId="5CC70F26" w14:textId="77777777" w:rsidR="00DE3C06" w:rsidRPr="001E37D8" w:rsidRDefault="00DE3C06" w:rsidP="008A49D0">
            <w:pPr>
              <w:spacing w:after="0" w:line="240" w:lineRule="auto"/>
              <w:jc w:val="center"/>
              <w:rPr>
                <w:rFonts w:eastAsia="Times New Roman" w:cs="Calibri"/>
                <w:b/>
                <w:bCs/>
                <w:sz w:val="22"/>
                <w:szCs w:val="22"/>
                <w:lang w:eastAsia="es-CO"/>
              </w:rPr>
            </w:pPr>
            <w:r w:rsidRPr="001E37D8">
              <w:rPr>
                <w:rFonts w:eastAsia="Times New Roman" w:cs="Calibri"/>
                <w:b/>
                <w:bCs/>
                <w:sz w:val="22"/>
                <w:szCs w:val="22"/>
                <w:lang w:eastAsia="es-CO"/>
              </w:rPr>
              <w:t>26 B</w:t>
            </w:r>
          </w:p>
        </w:tc>
        <w:tc>
          <w:tcPr>
            <w:tcW w:w="3780" w:type="dxa"/>
            <w:vAlign w:val="center"/>
            <w:hideMark/>
          </w:tcPr>
          <w:p w14:paraId="5B9D010A" w14:textId="77777777" w:rsidR="00DE3C06" w:rsidRPr="001E37D8" w:rsidRDefault="00DE3C06" w:rsidP="008A49D0">
            <w:pPr>
              <w:spacing w:after="0" w:line="240" w:lineRule="auto"/>
              <w:rPr>
                <w:rFonts w:eastAsia="Times New Roman" w:cs="Calibri"/>
                <w:sz w:val="22"/>
                <w:szCs w:val="22"/>
                <w:lang w:eastAsia="es-CO"/>
              </w:rPr>
            </w:pPr>
            <w:r w:rsidRPr="001E37D8">
              <w:rPr>
                <w:rFonts w:eastAsia="Times New Roman" w:cs="Calibri"/>
                <w:sz w:val="22"/>
                <w:szCs w:val="22"/>
                <w:lang w:eastAsia="es-CO"/>
              </w:rPr>
              <w:t>otra Nivel Nacional (NAL) externos PACTOS</w:t>
            </w:r>
          </w:p>
        </w:tc>
        <w:tc>
          <w:tcPr>
            <w:tcW w:w="3118" w:type="dxa"/>
            <w:vMerge/>
            <w:vAlign w:val="center"/>
            <w:hideMark/>
          </w:tcPr>
          <w:p w14:paraId="313DCD7A" w14:textId="77777777" w:rsidR="00DE3C06" w:rsidRPr="001E37D8" w:rsidRDefault="00DE3C06" w:rsidP="008A49D0">
            <w:pPr>
              <w:spacing w:after="0" w:line="240" w:lineRule="auto"/>
              <w:rPr>
                <w:rFonts w:eastAsia="Times New Roman" w:cs="Calibri"/>
                <w:sz w:val="22"/>
                <w:szCs w:val="22"/>
                <w:lang w:eastAsia="es-CO"/>
              </w:rPr>
            </w:pPr>
          </w:p>
        </w:tc>
      </w:tr>
      <w:tr w:rsidR="00DE3C06" w:rsidRPr="001E37D8" w14:paraId="575EFB4D" w14:textId="77777777" w:rsidTr="008A49D0">
        <w:trPr>
          <w:trHeight w:val="264"/>
        </w:trPr>
        <w:tc>
          <w:tcPr>
            <w:tcW w:w="1040" w:type="dxa"/>
            <w:vAlign w:val="center"/>
            <w:hideMark/>
          </w:tcPr>
          <w:p w14:paraId="4EB82350" w14:textId="77777777" w:rsidR="00DE3C06" w:rsidRPr="001E37D8" w:rsidRDefault="00DE3C06" w:rsidP="008A49D0">
            <w:pPr>
              <w:spacing w:after="0" w:line="240" w:lineRule="auto"/>
              <w:jc w:val="center"/>
              <w:rPr>
                <w:rFonts w:eastAsia="Times New Roman" w:cs="Calibri"/>
                <w:b/>
                <w:bCs/>
                <w:sz w:val="22"/>
                <w:szCs w:val="22"/>
                <w:lang w:eastAsia="es-CO"/>
              </w:rPr>
            </w:pPr>
            <w:r w:rsidRPr="001E37D8">
              <w:rPr>
                <w:rFonts w:eastAsia="Times New Roman" w:cs="Calibri"/>
                <w:b/>
                <w:bCs/>
                <w:sz w:val="22"/>
                <w:szCs w:val="22"/>
                <w:lang w:eastAsia="es-CO"/>
              </w:rPr>
              <w:t>26 C</w:t>
            </w:r>
          </w:p>
        </w:tc>
        <w:tc>
          <w:tcPr>
            <w:tcW w:w="3780" w:type="dxa"/>
            <w:vAlign w:val="center"/>
            <w:hideMark/>
          </w:tcPr>
          <w:p w14:paraId="092F8237" w14:textId="77777777" w:rsidR="00DE3C06" w:rsidRPr="001E37D8" w:rsidRDefault="00DE3C06" w:rsidP="008A49D0">
            <w:pPr>
              <w:spacing w:after="0" w:line="240" w:lineRule="auto"/>
              <w:rPr>
                <w:rFonts w:eastAsia="Times New Roman" w:cs="Calibri"/>
                <w:sz w:val="22"/>
                <w:szCs w:val="22"/>
                <w:lang w:eastAsia="es-CO"/>
              </w:rPr>
            </w:pPr>
            <w:r w:rsidRPr="001E37D8">
              <w:rPr>
                <w:rFonts w:eastAsia="Times New Roman" w:cs="Calibri"/>
                <w:sz w:val="22"/>
                <w:szCs w:val="22"/>
                <w:lang w:eastAsia="es-CO"/>
              </w:rPr>
              <w:t xml:space="preserve"> Otras PDET MESAS COMUNITARIAS (NAL)</w:t>
            </w:r>
          </w:p>
        </w:tc>
        <w:tc>
          <w:tcPr>
            <w:tcW w:w="3118" w:type="dxa"/>
            <w:vMerge/>
            <w:vAlign w:val="center"/>
            <w:hideMark/>
          </w:tcPr>
          <w:p w14:paraId="7EA33CC3" w14:textId="77777777" w:rsidR="00DE3C06" w:rsidRPr="001E37D8" w:rsidRDefault="00DE3C06" w:rsidP="008A49D0">
            <w:pPr>
              <w:spacing w:after="0" w:line="240" w:lineRule="auto"/>
              <w:rPr>
                <w:rFonts w:eastAsia="Times New Roman" w:cs="Calibri"/>
                <w:sz w:val="22"/>
                <w:szCs w:val="22"/>
                <w:lang w:eastAsia="es-CO"/>
              </w:rPr>
            </w:pPr>
          </w:p>
        </w:tc>
      </w:tr>
      <w:tr w:rsidR="00DE3C06" w:rsidRPr="001E37D8" w14:paraId="046DCBEA" w14:textId="77777777" w:rsidTr="008A49D0">
        <w:trPr>
          <w:trHeight w:val="264"/>
        </w:trPr>
        <w:tc>
          <w:tcPr>
            <w:tcW w:w="1040" w:type="dxa"/>
            <w:vAlign w:val="center"/>
            <w:hideMark/>
          </w:tcPr>
          <w:p w14:paraId="71DB998D" w14:textId="77777777" w:rsidR="00DE3C06" w:rsidRPr="001E37D8" w:rsidRDefault="00DE3C06" w:rsidP="008A49D0">
            <w:pPr>
              <w:spacing w:after="0" w:line="240" w:lineRule="auto"/>
              <w:jc w:val="center"/>
              <w:rPr>
                <w:rFonts w:eastAsia="Times New Roman" w:cs="Calibri"/>
                <w:b/>
                <w:bCs/>
                <w:sz w:val="22"/>
                <w:szCs w:val="22"/>
                <w:lang w:eastAsia="es-CO"/>
              </w:rPr>
            </w:pPr>
            <w:r w:rsidRPr="001E37D8">
              <w:rPr>
                <w:rFonts w:eastAsia="Times New Roman" w:cs="Calibri"/>
                <w:b/>
                <w:bCs/>
                <w:sz w:val="22"/>
                <w:szCs w:val="22"/>
                <w:lang w:eastAsia="es-CO"/>
              </w:rPr>
              <w:t xml:space="preserve">26 </w:t>
            </w:r>
            <w:proofErr w:type="gramStart"/>
            <w:r w:rsidRPr="001E37D8">
              <w:rPr>
                <w:rFonts w:eastAsia="Times New Roman" w:cs="Calibri"/>
                <w:b/>
                <w:bCs/>
                <w:sz w:val="22"/>
                <w:szCs w:val="22"/>
                <w:lang w:eastAsia="es-CO"/>
              </w:rPr>
              <w:t>D</w:t>
            </w:r>
            <w:proofErr w:type="gramEnd"/>
          </w:p>
        </w:tc>
        <w:tc>
          <w:tcPr>
            <w:tcW w:w="3780" w:type="dxa"/>
            <w:vAlign w:val="center"/>
            <w:hideMark/>
          </w:tcPr>
          <w:p w14:paraId="109EBB99" w14:textId="77777777" w:rsidR="00DE3C06" w:rsidRPr="001E37D8" w:rsidRDefault="00DE3C06" w:rsidP="008A49D0">
            <w:pPr>
              <w:spacing w:after="0" w:line="240" w:lineRule="auto"/>
              <w:rPr>
                <w:rFonts w:eastAsia="Times New Roman" w:cs="Calibri"/>
                <w:sz w:val="22"/>
                <w:szCs w:val="22"/>
                <w:lang w:eastAsia="es-CO"/>
              </w:rPr>
            </w:pPr>
            <w:r w:rsidRPr="001E37D8">
              <w:rPr>
                <w:rFonts w:eastAsia="Times New Roman" w:cs="Calibri"/>
                <w:sz w:val="22"/>
                <w:szCs w:val="22"/>
                <w:lang w:eastAsia="es-CO"/>
              </w:rPr>
              <w:t xml:space="preserve"> Otras PDET MEC </w:t>
            </w:r>
          </w:p>
        </w:tc>
        <w:tc>
          <w:tcPr>
            <w:tcW w:w="3118" w:type="dxa"/>
            <w:vMerge/>
            <w:vAlign w:val="center"/>
            <w:hideMark/>
          </w:tcPr>
          <w:p w14:paraId="348F9C59" w14:textId="77777777" w:rsidR="00DE3C06" w:rsidRPr="001E37D8" w:rsidRDefault="00DE3C06" w:rsidP="008A49D0">
            <w:pPr>
              <w:spacing w:after="0" w:line="240" w:lineRule="auto"/>
              <w:rPr>
                <w:rFonts w:eastAsia="Times New Roman" w:cs="Calibri"/>
                <w:sz w:val="22"/>
                <w:szCs w:val="22"/>
                <w:lang w:eastAsia="es-CO"/>
              </w:rPr>
            </w:pPr>
          </w:p>
        </w:tc>
      </w:tr>
      <w:tr w:rsidR="00DE3C06" w:rsidRPr="001E37D8" w14:paraId="0EC44A8E" w14:textId="77777777" w:rsidTr="008A49D0">
        <w:trPr>
          <w:trHeight w:val="264"/>
        </w:trPr>
        <w:tc>
          <w:tcPr>
            <w:tcW w:w="1040" w:type="dxa"/>
            <w:vAlign w:val="center"/>
            <w:hideMark/>
          </w:tcPr>
          <w:p w14:paraId="033491B9" w14:textId="77777777" w:rsidR="00DE3C06" w:rsidRPr="001E37D8" w:rsidRDefault="00DE3C06" w:rsidP="008A49D0">
            <w:pPr>
              <w:spacing w:after="0" w:line="240" w:lineRule="auto"/>
              <w:jc w:val="center"/>
              <w:rPr>
                <w:rFonts w:eastAsia="Times New Roman" w:cs="Calibri"/>
                <w:b/>
                <w:bCs/>
                <w:sz w:val="22"/>
                <w:szCs w:val="22"/>
                <w:lang w:eastAsia="es-CO"/>
              </w:rPr>
            </w:pPr>
            <w:r w:rsidRPr="001E37D8">
              <w:rPr>
                <w:rFonts w:eastAsia="Times New Roman" w:cs="Calibri"/>
                <w:b/>
                <w:bCs/>
                <w:sz w:val="22"/>
                <w:szCs w:val="22"/>
                <w:lang w:eastAsia="es-CO"/>
              </w:rPr>
              <w:t>27</w:t>
            </w:r>
          </w:p>
        </w:tc>
        <w:tc>
          <w:tcPr>
            <w:tcW w:w="3780" w:type="dxa"/>
            <w:vAlign w:val="center"/>
            <w:hideMark/>
          </w:tcPr>
          <w:p w14:paraId="12C72526" w14:textId="77777777" w:rsidR="00DE3C06" w:rsidRPr="001E37D8" w:rsidRDefault="00DE3C06" w:rsidP="008A49D0">
            <w:pPr>
              <w:spacing w:after="0" w:line="240" w:lineRule="auto"/>
              <w:rPr>
                <w:rFonts w:eastAsia="Times New Roman" w:cs="Calibri"/>
                <w:sz w:val="22"/>
                <w:szCs w:val="22"/>
                <w:lang w:eastAsia="es-CO"/>
              </w:rPr>
            </w:pPr>
            <w:r w:rsidRPr="001E37D8">
              <w:rPr>
                <w:rFonts w:eastAsia="Times New Roman" w:cs="Calibri"/>
                <w:sz w:val="22"/>
                <w:szCs w:val="22"/>
                <w:lang w:eastAsia="es-CO"/>
              </w:rPr>
              <w:t>Instancias PDET</w:t>
            </w:r>
          </w:p>
        </w:tc>
        <w:tc>
          <w:tcPr>
            <w:tcW w:w="3118" w:type="dxa"/>
            <w:vMerge w:val="restart"/>
            <w:vAlign w:val="center"/>
            <w:hideMark/>
          </w:tcPr>
          <w:p w14:paraId="7CE8EC75" w14:textId="77777777" w:rsidR="00DE3C06" w:rsidRPr="001E37D8" w:rsidRDefault="00DE3C06" w:rsidP="008A49D0">
            <w:pPr>
              <w:spacing w:after="0" w:line="240" w:lineRule="auto"/>
              <w:rPr>
                <w:rFonts w:eastAsia="Times New Roman" w:cs="Calibri"/>
                <w:sz w:val="22"/>
                <w:szCs w:val="22"/>
                <w:lang w:eastAsia="es-CO"/>
              </w:rPr>
            </w:pPr>
            <w:r w:rsidRPr="001E37D8">
              <w:rPr>
                <w:rFonts w:eastAsia="Times New Roman" w:cs="Calibri"/>
                <w:sz w:val="22"/>
                <w:szCs w:val="22"/>
                <w:lang w:eastAsia="es-CO"/>
              </w:rPr>
              <w:t>9.2 Mesas Técnicas en el marco de convenios y mesas informales.</w:t>
            </w:r>
          </w:p>
        </w:tc>
      </w:tr>
      <w:tr w:rsidR="00DE3C06" w:rsidRPr="001E37D8" w14:paraId="17A32874" w14:textId="77777777" w:rsidTr="008A49D0">
        <w:trPr>
          <w:trHeight w:val="264"/>
        </w:trPr>
        <w:tc>
          <w:tcPr>
            <w:tcW w:w="1040" w:type="dxa"/>
            <w:vAlign w:val="center"/>
            <w:hideMark/>
          </w:tcPr>
          <w:p w14:paraId="1B6CDB6A" w14:textId="77777777" w:rsidR="00DE3C06" w:rsidRPr="001E37D8" w:rsidRDefault="00DE3C06" w:rsidP="008A49D0">
            <w:pPr>
              <w:spacing w:after="0" w:line="240" w:lineRule="auto"/>
              <w:jc w:val="center"/>
              <w:rPr>
                <w:rFonts w:eastAsia="Times New Roman" w:cs="Calibri"/>
                <w:b/>
                <w:bCs/>
                <w:sz w:val="22"/>
                <w:szCs w:val="22"/>
                <w:lang w:eastAsia="es-CO"/>
              </w:rPr>
            </w:pPr>
            <w:r w:rsidRPr="001E37D8">
              <w:rPr>
                <w:rFonts w:eastAsia="Times New Roman" w:cs="Calibri"/>
                <w:b/>
                <w:bCs/>
                <w:sz w:val="22"/>
                <w:szCs w:val="22"/>
                <w:lang w:eastAsia="es-CO"/>
              </w:rPr>
              <w:t>27.A</w:t>
            </w:r>
          </w:p>
        </w:tc>
        <w:tc>
          <w:tcPr>
            <w:tcW w:w="3780" w:type="dxa"/>
            <w:vAlign w:val="center"/>
            <w:hideMark/>
          </w:tcPr>
          <w:p w14:paraId="3A2A4355" w14:textId="77777777" w:rsidR="00DE3C06" w:rsidRPr="001E37D8" w:rsidRDefault="00DE3C06" w:rsidP="008A49D0">
            <w:pPr>
              <w:spacing w:after="0" w:line="240" w:lineRule="auto"/>
              <w:rPr>
                <w:rFonts w:eastAsia="Times New Roman" w:cs="Calibri"/>
                <w:sz w:val="22"/>
                <w:szCs w:val="22"/>
                <w:lang w:eastAsia="es-CO"/>
              </w:rPr>
            </w:pPr>
            <w:r w:rsidRPr="001E37D8">
              <w:rPr>
                <w:rFonts w:eastAsia="Times New Roman" w:cs="Calibri"/>
                <w:sz w:val="22"/>
                <w:szCs w:val="22"/>
                <w:lang w:eastAsia="es-CO"/>
              </w:rPr>
              <w:t>Mesas Impulso e Interinstitucionales</w:t>
            </w:r>
          </w:p>
        </w:tc>
        <w:tc>
          <w:tcPr>
            <w:tcW w:w="3118" w:type="dxa"/>
            <w:vMerge/>
            <w:vAlign w:val="center"/>
            <w:hideMark/>
          </w:tcPr>
          <w:p w14:paraId="0265D4D9" w14:textId="77777777" w:rsidR="00DE3C06" w:rsidRPr="001E37D8" w:rsidRDefault="00DE3C06" w:rsidP="008A49D0">
            <w:pPr>
              <w:spacing w:after="0" w:line="240" w:lineRule="auto"/>
              <w:rPr>
                <w:rFonts w:eastAsia="Times New Roman" w:cs="Calibri"/>
                <w:sz w:val="22"/>
                <w:szCs w:val="22"/>
                <w:lang w:eastAsia="es-CO"/>
              </w:rPr>
            </w:pPr>
          </w:p>
        </w:tc>
      </w:tr>
      <w:tr w:rsidR="00DE3C06" w:rsidRPr="001E37D8" w14:paraId="152E5FD9" w14:textId="77777777" w:rsidTr="008A49D0">
        <w:trPr>
          <w:trHeight w:val="264"/>
        </w:trPr>
        <w:tc>
          <w:tcPr>
            <w:tcW w:w="1040" w:type="dxa"/>
            <w:vAlign w:val="center"/>
            <w:hideMark/>
          </w:tcPr>
          <w:p w14:paraId="6953B6A4" w14:textId="77777777" w:rsidR="00DE3C06" w:rsidRPr="001E37D8" w:rsidRDefault="00DE3C06" w:rsidP="008A49D0">
            <w:pPr>
              <w:spacing w:after="0" w:line="240" w:lineRule="auto"/>
              <w:jc w:val="center"/>
              <w:rPr>
                <w:rFonts w:eastAsia="Times New Roman" w:cs="Calibri"/>
                <w:b/>
                <w:bCs/>
                <w:sz w:val="22"/>
                <w:szCs w:val="22"/>
                <w:lang w:eastAsia="es-CO"/>
              </w:rPr>
            </w:pPr>
            <w:r w:rsidRPr="001E37D8">
              <w:rPr>
                <w:rFonts w:eastAsia="Times New Roman" w:cs="Calibri"/>
                <w:b/>
                <w:bCs/>
                <w:sz w:val="22"/>
                <w:szCs w:val="22"/>
                <w:lang w:eastAsia="es-CO"/>
              </w:rPr>
              <w:t>27.B</w:t>
            </w:r>
          </w:p>
        </w:tc>
        <w:tc>
          <w:tcPr>
            <w:tcW w:w="3780" w:type="dxa"/>
            <w:vAlign w:val="center"/>
            <w:hideMark/>
          </w:tcPr>
          <w:p w14:paraId="4B92B3E1" w14:textId="77777777" w:rsidR="00DE3C06" w:rsidRPr="001E37D8" w:rsidRDefault="00DE3C06" w:rsidP="008A49D0">
            <w:pPr>
              <w:spacing w:after="0" w:line="240" w:lineRule="auto"/>
              <w:rPr>
                <w:rFonts w:eastAsia="Times New Roman" w:cs="Calibri"/>
                <w:sz w:val="22"/>
                <w:szCs w:val="22"/>
                <w:lang w:eastAsia="es-CO"/>
              </w:rPr>
            </w:pPr>
            <w:r w:rsidRPr="001E37D8">
              <w:rPr>
                <w:rFonts w:eastAsia="Times New Roman" w:cs="Calibri"/>
                <w:sz w:val="22"/>
                <w:szCs w:val="22"/>
                <w:lang w:eastAsia="es-CO"/>
              </w:rPr>
              <w:t>Comités convenios marco</w:t>
            </w:r>
          </w:p>
        </w:tc>
        <w:tc>
          <w:tcPr>
            <w:tcW w:w="3118" w:type="dxa"/>
            <w:vMerge/>
            <w:vAlign w:val="center"/>
            <w:hideMark/>
          </w:tcPr>
          <w:p w14:paraId="560B93B5" w14:textId="77777777" w:rsidR="00DE3C06" w:rsidRPr="001E37D8" w:rsidRDefault="00DE3C06" w:rsidP="008A49D0">
            <w:pPr>
              <w:spacing w:after="0" w:line="240" w:lineRule="auto"/>
              <w:rPr>
                <w:rFonts w:eastAsia="Times New Roman" w:cs="Calibri"/>
                <w:sz w:val="22"/>
                <w:szCs w:val="22"/>
                <w:lang w:eastAsia="es-CO"/>
              </w:rPr>
            </w:pPr>
          </w:p>
        </w:tc>
      </w:tr>
      <w:tr w:rsidR="00DE3C06" w:rsidRPr="001E37D8" w14:paraId="70C5E940" w14:textId="77777777" w:rsidTr="008A49D0">
        <w:trPr>
          <w:trHeight w:val="264"/>
        </w:trPr>
        <w:tc>
          <w:tcPr>
            <w:tcW w:w="1040" w:type="dxa"/>
            <w:vAlign w:val="center"/>
            <w:hideMark/>
          </w:tcPr>
          <w:p w14:paraId="2F1FBA2F" w14:textId="77777777" w:rsidR="00DE3C06" w:rsidRPr="001E37D8" w:rsidRDefault="00DE3C06" w:rsidP="008A49D0">
            <w:pPr>
              <w:spacing w:after="0" w:line="240" w:lineRule="auto"/>
              <w:jc w:val="center"/>
              <w:rPr>
                <w:rFonts w:eastAsia="Times New Roman" w:cs="Calibri"/>
                <w:b/>
                <w:bCs/>
                <w:sz w:val="22"/>
                <w:szCs w:val="22"/>
                <w:lang w:eastAsia="es-CO"/>
              </w:rPr>
            </w:pPr>
            <w:r w:rsidRPr="001E37D8">
              <w:rPr>
                <w:rFonts w:eastAsia="Times New Roman" w:cs="Calibri"/>
                <w:b/>
                <w:bCs/>
                <w:sz w:val="22"/>
                <w:szCs w:val="22"/>
                <w:lang w:eastAsia="es-CO"/>
              </w:rPr>
              <w:t>27.C</w:t>
            </w:r>
          </w:p>
        </w:tc>
        <w:tc>
          <w:tcPr>
            <w:tcW w:w="3780" w:type="dxa"/>
            <w:vAlign w:val="center"/>
            <w:hideMark/>
          </w:tcPr>
          <w:p w14:paraId="6F36794F" w14:textId="77777777" w:rsidR="00DE3C06" w:rsidRPr="001E37D8" w:rsidRDefault="00DE3C06" w:rsidP="008A49D0">
            <w:pPr>
              <w:spacing w:after="0" w:line="240" w:lineRule="auto"/>
              <w:rPr>
                <w:rFonts w:eastAsia="Times New Roman" w:cs="Calibri"/>
                <w:sz w:val="22"/>
                <w:szCs w:val="22"/>
                <w:lang w:eastAsia="es-CO"/>
              </w:rPr>
            </w:pPr>
            <w:r w:rsidRPr="001E37D8">
              <w:rPr>
                <w:rFonts w:eastAsia="Times New Roman" w:cs="Calibri"/>
                <w:sz w:val="22"/>
                <w:szCs w:val="22"/>
                <w:lang w:eastAsia="es-CO"/>
              </w:rPr>
              <w:t>Comités operativos</w:t>
            </w:r>
          </w:p>
        </w:tc>
        <w:tc>
          <w:tcPr>
            <w:tcW w:w="3118" w:type="dxa"/>
            <w:vMerge/>
            <w:vAlign w:val="center"/>
            <w:hideMark/>
          </w:tcPr>
          <w:p w14:paraId="17D8BC8B" w14:textId="77777777" w:rsidR="00DE3C06" w:rsidRPr="001E37D8" w:rsidRDefault="00DE3C06" w:rsidP="008A49D0">
            <w:pPr>
              <w:spacing w:after="0" w:line="240" w:lineRule="auto"/>
              <w:rPr>
                <w:rFonts w:eastAsia="Times New Roman" w:cs="Calibri"/>
                <w:sz w:val="22"/>
                <w:szCs w:val="22"/>
                <w:lang w:eastAsia="es-CO"/>
              </w:rPr>
            </w:pPr>
          </w:p>
        </w:tc>
      </w:tr>
      <w:tr w:rsidR="00DE3C06" w:rsidRPr="001E37D8" w14:paraId="54BE2C6E" w14:textId="77777777" w:rsidTr="008A49D0">
        <w:trPr>
          <w:trHeight w:val="264"/>
        </w:trPr>
        <w:tc>
          <w:tcPr>
            <w:tcW w:w="1040" w:type="dxa"/>
            <w:vAlign w:val="center"/>
            <w:hideMark/>
          </w:tcPr>
          <w:p w14:paraId="73922466" w14:textId="77777777" w:rsidR="00DE3C06" w:rsidRPr="001E37D8" w:rsidRDefault="00DE3C06" w:rsidP="008A49D0">
            <w:pPr>
              <w:spacing w:after="0" w:line="240" w:lineRule="auto"/>
              <w:jc w:val="center"/>
              <w:rPr>
                <w:rFonts w:eastAsia="Times New Roman" w:cs="Calibri"/>
                <w:b/>
                <w:bCs/>
                <w:sz w:val="22"/>
                <w:szCs w:val="22"/>
                <w:lang w:eastAsia="es-CO"/>
              </w:rPr>
            </w:pPr>
            <w:r w:rsidRPr="001E37D8">
              <w:rPr>
                <w:rFonts w:eastAsia="Times New Roman" w:cs="Calibri"/>
                <w:b/>
                <w:bCs/>
                <w:sz w:val="22"/>
                <w:szCs w:val="22"/>
                <w:lang w:eastAsia="es-CO"/>
              </w:rPr>
              <w:t>27.D</w:t>
            </w:r>
          </w:p>
        </w:tc>
        <w:tc>
          <w:tcPr>
            <w:tcW w:w="3780" w:type="dxa"/>
            <w:vAlign w:val="center"/>
            <w:hideMark/>
          </w:tcPr>
          <w:p w14:paraId="488B497A" w14:textId="77777777" w:rsidR="00DE3C06" w:rsidRPr="001E37D8" w:rsidRDefault="00DE3C06" w:rsidP="008A49D0">
            <w:pPr>
              <w:spacing w:after="0" w:line="240" w:lineRule="auto"/>
              <w:rPr>
                <w:rFonts w:eastAsia="Times New Roman" w:cs="Calibri"/>
                <w:sz w:val="22"/>
                <w:szCs w:val="22"/>
                <w:lang w:eastAsia="es-CO"/>
              </w:rPr>
            </w:pPr>
            <w:r w:rsidRPr="001E37D8">
              <w:rPr>
                <w:rFonts w:eastAsia="Times New Roman" w:cs="Calibri"/>
                <w:sz w:val="22"/>
                <w:szCs w:val="22"/>
                <w:lang w:eastAsia="es-CO"/>
              </w:rPr>
              <w:t>Comité técnico subcuenta ART-FCP (PDET)</w:t>
            </w:r>
          </w:p>
        </w:tc>
        <w:tc>
          <w:tcPr>
            <w:tcW w:w="3118" w:type="dxa"/>
            <w:vMerge/>
            <w:vAlign w:val="center"/>
            <w:hideMark/>
          </w:tcPr>
          <w:p w14:paraId="228EA0DE" w14:textId="77777777" w:rsidR="00DE3C06" w:rsidRPr="001E37D8" w:rsidRDefault="00DE3C06" w:rsidP="008A49D0">
            <w:pPr>
              <w:spacing w:after="0" w:line="240" w:lineRule="auto"/>
              <w:rPr>
                <w:rFonts w:eastAsia="Times New Roman" w:cs="Calibri"/>
                <w:sz w:val="22"/>
                <w:szCs w:val="22"/>
                <w:lang w:eastAsia="es-CO"/>
              </w:rPr>
            </w:pPr>
          </w:p>
        </w:tc>
      </w:tr>
      <w:tr w:rsidR="00DE3C06" w:rsidRPr="001E37D8" w14:paraId="637EDDD2" w14:textId="77777777" w:rsidTr="008A49D0">
        <w:trPr>
          <w:trHeight w:val="264"/>
        </w:trPr>
        <w:tc>
          <w:tcPr>
            <w:tcW w:w="1040" w:type="dxa"/>
            <w:vAlign w:val="center"/>
            <w:hideMark/>
          </w:tcPr>
          <w:p w14:paraId="1EBB5240" w14:textId="77777777" w:rsidR="00DE3C06" w:rsidRPr="001E37D8" w:rsidRDefault="00DE3C06" w:rsidP="008A49D0">
            <w:pPr>
              <w:spacing w:after="0" w:line="240" w:lineRule="auto"/>
              <w:jc w:val="center"/>
              <w:rPr>
                <w:rFonts w:eastAsia="Times New Roman" w:cs="Calibri"/>
                <w:b/>
                <w:bCs/>
                <w:sz w:val="22"/>
                <w:szCs w:val="22"/>
                <w:lang w:eastAsia="es-CO"/>
              </w:rPr>
            </w:pPr>
            <w:r w:rsidRPr="001E37D8">
              <w:rPr>
                <w:rFonts w:eastAsia="Times New Roman" w:cs="Calibri"/>
                <w:b/>
                <w:bCs/>
                <w:sz w:val="22"/>
                <w:szCs w:val="22"/>
                <w:lang w:eastAsia="es-CO"/>
              </w:rPr>
              <w:t>28</w:t>
            </w:r>
          </w:p>
        </w:tc>
        <w:tc>
          <w:tcPr>
            <w:tcW w:w="3780" w:type="dxa"/>
            <w:vAlign w:val="center"/>
            <w:hideMark/>
          </w:tcPr>
          <w:p w14:paraId="134F365F" w14:textId="77777777" w:rsidR="00DE3C06" w:rsidRPr="001E37D8" w:rsidRDefault="00DE3C06" w:rsidP="008A49D0">
            <w:pPr>
              <w:spacing w:after="0" w:line="240" w:lineRule="auto"/>
              <w:rPr>
                <w:rFonts w:eastAsia="Times New Roman" w:cs="Calibri"/>
                <w:sz w:val="22"/>
                <w:szCs w:val="22"/>
                <w:lang w:eastAsia="es-CO"/>
              </w:rPr>
            </w:pPr>
            <w:r w:rsidRPr="001E37D8">
              <w:rPr>
                <w:rFonts w:eastAsia="Times New Roman" w:cs="Calibri"/>
                <w:sz w:val="22"/>
                <w:szCs w:val="22"/>
                <w:lang w:eastAsia="es-CO"/>
              </w:rPr>
              <w:t>Instancias Comités ART</w:t>
            </w:r>
          </w:p>
        </w:tc>
        <w:tc>
          <w:tcPr>
            <w:tcW w:w="3118" w:type="dxa"/>
            <w:vAlign w:val="center"/>
            <w:hideMark/>
          </w:tcPr>
          <w:p w14:paraId="60E59B2C" w14:textId="77777777" w:rsidR="00DE3C06" w:rsidRPr="001E37D8" w:rsidRDefault="00DE3C06" w:rsidP="008A49D0">
            <w:pPr>
              <w:spacing w:after="0" w:line="240" w:lineRule="auto"/>
              <w:rPr>
                <w:rFonts w:eastAsia="Times New Roman" w:cs="Calibri"/>
                <w:sz w:val="22"/>
                <w:szCs w:val="22"/>
                <w:lang w:eastAsia="es-CO"/>
              </w:rPr>
            </w:pPr>
            <w:r w:rsidRPr="001E37D8">
              <w:rPr>
                <w:rFonts w:eastAsia="Times New Roman" w:cs="Calibri"/>
                <w:sz w:val="22"/>
                <w:szCs w:val="22"/>
                <w:lang w:eastAsia="es-CO"/>
              </w:rPr>
              <w:t>9.3 Instancias de participación internas</w:t>
            </w:r>
          </w:p>
        </w:tc>
      </w:tr>
      <w:tr w:rsidR="00DE3C06" w:rsidRPr="001E37D8" w14:paraId="2B6A33C3" w14:textId="77777777" w:rsidTr="008A49D0">
        <w:trPr>
          <w:trHeight w:val="264"/>
        </w:trPr>
        <w:tc>
          <w:tcPr>
            <w:tcW w:w="1040" w:type="dxa"/>
            <w:vAlign w:val="center"/>
            <w:hideMark/>
          </w:tcPr>
          <w:p w14:paraId="15109E47" w14:textId="77777777" w:rsidR="00DE3C06" w:rsidRPr="001E37D8" w:rsidRDefault="00DE3C06" w:rsidP="008A49D0">
            <w:pPr>
              <w:spacing w:after="0" w:line="240" w:lineRule="auto"/>
              <w:jc w:val="center"/>
              <w:rPr>
                <w:rFonts w:eastAsia="Times New Roman" w:cs="Calibri"/>
                <w:b/>
                <w:bCs/>
                <w:sz w:val="22"/>
                <w:szCs w:val="22"/>
                <w:lang w:eastAsia="es-CO"/>
              </w:rPr>
            </w:pPr>
            <w:r w:rsidRPr="001E37D8">
              <w:rPr>
                <w:rFonts w:eastAsia="Times New Roman" w:cs="Calibri"/>
                <w:b/>
                <w:bCs/>
                <w:sz w:val="22"/>
                <w:szCs w:val="22"/>
                <w:lang w:eastAsia="es-CO"/>
              </w:rPr>
              <w:t>29</w:t>
            </w:r>
          </w:p>
        </w:tc>
        <w:tc>
          <w:tcPr>
            <w:tcW w:w="3780" w:type="dxa"/>
            <w:vAlign w:val="center"/>
            <w:hideMark/>
          </w:tcPr>
          <w:p w14:paraId="3994CD3B" w14:textId="77777777" w:rsidR="00DE3C06" w:rsidRPr="001E37D8" w:rsidRDefault="00DE3C06" w:rsidP="008A49D0">
            <w:pPr>
              <w:spacing w:after="0" w:line="240" w:lineRule="auto"/>
              <w:rPr>
                <w:rFonts w:eastAsia="Times New Roman" w:cs="Calibri"/>
                <w:sz w:val="22"/>
                <w:szCs w:val="22"/>
                <w:lang w:eastAsia="es-CO"/>
              </w:rPr>
            </w:pPr>
            <w:r w:rsidRPr="001E37D8">
              <w:rPr>
                <w:rFonts w:eastAsia="Times New Roman" w:cs="Calibri"/>
                <w:sz w:val="22"/>
                <w:szCs w:val="22"/>
                <w:lang w:eastAsia="es-CO"/>
              </w:rPr>
              <w:t>Acciones judiciales tutelas</w:t>
            </w:r>
          </w:p>
        </w:tc>
        <w:tc>
          <w:tcPr>
            <w:tcW w:w="3118" w:type="dxa"/>
            <w:vMerge w:val="restart"/>
            <w:vAlign w:val="center"/>
            <w:hideMark/>
          </w:tcPr>
          <w:p w14:paraId="1C921632" w14:textId="77777777" w:rsidR="00DE3C06" w:rsidRPr="001E37D8" w:rsidRDefault="00DE3C06" w:rsidP="008A49D0">
            <w:pPr>
              <w:spacing w:after="0" w:line="240" w:lineRule="auto"/>
              <w:rPr>
                <w:rFonts w:eastAsia="Times New Roman" w:cs="Calibri"/>
                <w:sz w:val="22"/>
                <w:szCs w:val="22"/>
                <w:lang w:eastAsia="es-CO"/>
              </w:rPr>
            </w:pPr>
            <w:r w:rsidRPr="001E37D8">
              <w:rPr>
                <w:rFonts w:eastAsia="Times New Roman" w:cs="Calibri"/>
                <w:sz w:val="22"/>
                <w:szCs w:val="22"/>
                <w:lang w:eastAsia="es-CO"/>
              </w:rPr>
              <w:t>10.1 Acciones judiciales</w:t>
            </w:r>
          </w:p>
        </w:tc>
      </w:tr>
      <w:tr w:rsidR="00DE3C06" w:rsidRPr="001E37D8" w14:paraId="5E3E74E2" w14:textId="77777777" w:rsidTr="008A49D0">
        <w:trPr>
          <w:trHeight w:val="264"/>
        </w:trPr>
        <w:tc>
          <w:tcPr>
            <w:tcW w:w="1040" w:type="dxa"/>
            <w:vAlign w:val="center"/>
            <w:hideMark/>
          </w:tcPr>
          <w:p w14:paraId="24509124" w14:textId="77777777" w:rsidR="00DE3C06" w:rsidRPr="001E37D8" w:rsidRDefault="00DE3C06" w:rsidP="008A49D0">
            <w:pPr>
              <w:spacing w:after="0" w:line="240" w:lineRule="auto"/>
              <w:jc w:val="center"/>
              <w:rPr>
                <w:rFonts w:eastAsia="Times New Roman" w:cs="Calibri"/>
                <w:b/>
                <w:bCs/>
                <w:sz w:val="22"/>
                <w:szCs w:val="22"/>
                <w:lang w:eastAsia="es-CO"/>
              </w:rPr>
            </w:pPr>
            <w:r w:rsidRPr="001E37D8">
              <w:rPr>
                <w:rFonts w:eastAsia="Times New Roman" w:cs="Calibri"/>
                <w:b/>
                <w:bCs/>
                <w:sz w:val="22"/>
                <w:szCs w:val="22"/>
                <w:lang w:eastAsia="es-CO"/>
              </w:rPr>
              <w:t>29.A</w:t>
            </w:r>
          </w:p>
        </w:tc>
        <w:tc>
          <w:tcPr>
            <w:tcW w:w="3780" w:type="dxa"/>
            <w:vAlign w:val="center"/>
            <w:hideMark/>
          </w:tcPr>
          <w:p w14:paraId="41DCC8A0" w14:textId="77777777" w:rsidR="00DE3C06" w:rsidRPr="001E37D8" w:rsidRDefault="00DE3C06" w:rsidP="008A49D0">
            <w:pPr>
              <w:spacing w:after="0" w:line="240" w:lineRule="auto"/>
              <w:rPr>
                <w:rFonts w:eastAsia="Times New Roman" w:cs="Calibri"/>
                <w:sz w:val="22"/>
                <w:szCs w:val="22"/>
                <w:lang w:eastAsia="es-CO"/>
              </w:rPr>
            </w:pPr>
            <w:r w:rsidRPr="001E37D8">
              <w:rPr>
                <w:rFonts w:eastAsia="Times New Roman" w:cs="Calibri"/>
                <w:sz w:val="22"/>
                <w:szCs w:val="22"/>
                <w:lang w:eastAsia="es-CO"/>
              </w:rPr>
              <w:t>Procesos Judiciales</w:t>
            </w:r>
          </w:p>
        </w:tc>
        <w:tc>
          <w:tcPr>
            <w:tcW w:w="3118" w:type="dxa"/>
            <w:vMerge/>
            <w:vAlign w:val="center"/>
            <w:hideMark/>
          </w:tcPr>
          <w:p w14:paraId="4E0984F4" w14:textId="77777777" w:rsidR="00DE3C06" w:rsidRPr="001E37D8" w:rsidRDefault="00DE3C06" w:rsidP="008A49D0">
            <w:pPr>
              <w:spacing w:after="0" w:line="240" w:lineRule="auto"/>
              <w:rPr>
                <w:rFonts w:eastAsia="Times New Roman" w:cs="Calibri"/>
                <w:sz w:val="22"/>
                <w:szCs w:val="22"/>
                <w:lang w:eastAsia="es-CO"/>
              </w:rPr>
            </w:pPr>
          </w:p>
        </w:tc>
      </w:tr>
      <w:tr w:rsidR="00DE3C06" w:rsidRPr="001E37D8" w14:paraId="7BFE7971" w14:textId="77777777" w:rsidTr="008A49D0">
        <w:trPr>
          <w:trHeight w:val="264"/>
        </w:trPr>
        <w:tc>
          <w:tcPr>
            <w:tcW w:w="1040" w:type="dxa"/>
            <w:vAlign w:val="center"/>
            <w:hideMark/>
          </w:tcPr>
          <w:p w14:paraId="1D16DFB1" w14:textId="77777777" w:rsidR="00DE3C06" w:rsidRPr="001E37D8" w:rsidRDefault="00DE3C06" w:rsidP="008A49D0">
            <w:pPr>
              <w:spacing w:after="0" w:line="240" w:lineRule="auto"/>
              <w:jc w:val="center"/>
              <w:rPr>
                <w:rFonts w:eastAsia="Times New Roman" w:cs="Calibri"/>
                <w:b/>
                <w:bCs/>
                <w:sz w:val="22"/>
                <w:szCs w:val="22"/>
                <w:lang w:eastAsia="es-CO"/>
              </w:rPr>
            </w:pPr>
            <w:r w:rsidRPr="001E37D8">
              <w:rPr>
                <w:rFonts w:eastAsia="Times New Roman" w:cs="Calibri"/>
                <w:b/>
                <w:bCs/>
                <w:sz w:val="22"/>
                <w:szCs w:val="22"/>
                <w:lang w:eastAsia="es-CO"/>
              </w:rPr>
              <w:t>29.B</w:t>
            </w:r>
          </w:p>
        </w:tc>
        <w:tc>
          <w:tcPr>
            <w:tcW w:w="3780" w:type="dxa"/>
            <w:vAlign w:val="center"/>
            <w:hideMark/>
          </w:tcPr>
          <w:p w14:paraId="119037C2" w14:textId="77777777" w:rsidR="00DE3C06" w:rsidRPr="001E37D8" w:rsidRDefault="00DE3C06" w:rsidP="008A49D0">
            <w:pPr>
              <w:spacing w:after="0" w:line="240" w:lineRule="auto"/>
              <w:rPr>
                <w:rFonts w:eastAsia="Times New Roman" w:cs="Calibri"/>
                <w:sz w:val="22"/>
                <w:szCs w:val="22"/>
                <w:lang w:eastAsia="es-CO"/>
              </w:rPr>
            </w:pPr>
            <w:r w:rsidRPr="001E37D8">
              <w:rPr>
                <w:rFonts w:eastAsia="Times New Roman" w:cs="Calibri"/>
                <w:sz w:val="22"/>
                <w:szCs w:val="22"/>
                <w:lang w:eastAsia="es-CO"/>
              </w:rPr>
              <w:t>Pagos Acciones Judiciales</w:t>
            </w:r>
          </w:p>
        </w:tc>
        <w:tc>
          <w:tcPr>
            <w:tcW w:w="3118" w:type="dxa"/>
            <w:vMerge/>
            <w:vAlign w:val="center"/>
            <w:hideMark/>
          </w:tcPr>
          <w:p w14:paraId="64B7D8A1" w14:textId="77777777" w:rsidR="00DE3C06" w:rsidRPr="001E37D8" w:rsidRDefault="00DE3C06" w:rsidP="008A49D0">
            <w:pPr>
              <w:spacing w:after="0" w:line="240" w:lineRule="auto"/>
              <w:rPr>
                <w:rFonts w:eastAsia="Times New Roman" w:cs="Calibri"/>
                <w:sz w:val="22"/>
                <w:szCs w:val="22"/>
                <w:lang w:eastAsia="es-CO"/>
              </w:rPr>
            </w:pPr>
          </w:p>
        </w:tc>
      </w:tr>
      <w:tr w:rsidR="00DE3C06" w:rsidRPr="001E37D8" w14:paraId="7388A717" w14:textId="77777777" w:rsidTr="008A49D0">
        <w:trPr>
          <w:trHeight w:val="264"/>
        </w:trPr>
        <w:tc>
          <w:tcPr>
            <w:tcW w:w="1040" w:type="dxa"/>
            <w:vAlign w:val="center"/>
            <w:hideMark/>
          </w:tcPr>
          <w:p w14:paraId="6C85E5E6" w14:textId="77777777" w:rsidR="00DE3C06" w:rsidRPr="001E37D8" w:rsidRDefault="00DE3C06" w:rsidP="008A49D0">
            <w:pPr>
              <w:spacing w:after="0" w:line="240" w:lineRule="auto"/>
              <w:jc w:val="center"/>
              <w:rPr>
                <w:rFonts w:eastAsia="Times New Roman" w:cs="Calibri"/>
                <w:b/>
                <w:bCs/>
                <w:sz w:val="22"/>
                <w:szCs w:val="22"/>
                <w:lang w:eastAsia="es-CO"/>
              </w:rPr>
            </w:pPr>
            <w:r w:rsidRPr="001E37D8">
              <w:rPr>
                <w:rFonts w:eastAsia="Times New Roman" w:cs="Calibri"/>
                <w:b/>
                <w:bCs/>
                <w:sz w:val="22"/>
                <w:szCs w:val="22"/>
                <w:lang w:eastAsia="es-CO"/>
              </w:rPr>
              <w:t>29.C</w:t>
            </w:r>
          </w:p>
        </w:tc>
        <w:tc>
          <w:tcPr>
            <w:tcW w:w="3780" w:type="dxa"/>
            <w:vAlign w:val="center"/>
            <w:hideMark/>
          </w:tcPr>
          <w:p w14:paraId="67D1A083" w14:textId="77777777" w:rsidR="00DE3C06" w:rsidRPr="001E37D8" w:rsidRDefault="00DE3C06" w:rsidP="008A49D0">
            <w:pPr>
              <w:spacing w:after="0" w:line="240" w:lineRule="auto"/>
              <w:rPr>
                <w:rFonts w:eastAsia="Times New Roman" w:cs="Calibri"/>
                <w:sz w:val="22"/>
                <w:szCs w:val="22"/>
                <w:lang w:eastAsia="es-CO"/>
              </w:rPr>
            </w:pPr>
            <w:r w:rsidRPr="001E37D8">
              <w:rPr>
                <w:rFonts w:eastAsia="Times New Roman" w:cs="Calibri"/>
                <w:sz w:val="22"/>
                <w:szCs w:val="22"/>
                <w:lang w:eastAsia="es-CO"/>
              </w:rPr>
              <w:t>Acciones de tutela 2022</w:t>
            </w:r>
          </w:p>
        </w:tc>
        <w:tc>
          <w:tcPr>
            <w:tcW w:w="3118" w:type="dxa"/>
            <w:vMerge/>
            <w:vAlign w:val="center"/>
            <w:hideMark/>
          </w:tcPr>
          <w:p w14:paraId="7007BA72" w14:textId="77777777" w:rsidR="00DE3C06" w:rsidRPr="001E37D8" w:rsidRDefault="00DE3C06" w:rsidP="008A49D0">
            <w:pPr>
              <w:spacing w:after="0" w:line="240" w:lineRule="auto"/>
              <w:rPr>
                <w:rFonts w:eastAsia="Times New Roman" w:cs="Calibri"/>
                <w:sz w:val="22"/>
                <w:szCs w:val="22"/>
                <w:lang w:eastAsia="es-CO"/>
              </w:rPr>
            </w:pPr>
          </w:p>
        </w:tc>
      </w:tr>
      <w:tr w:rsidR="00DE3C06" w:rsidRPr="001E37D8" w14:paraId="40F63EFF" w14:textId="77777777" w:rsidTr="008A49D0">
        <w:trPr>
          <w:trHeight w:val="264"/>
        </w:trPr>
        <w:tc>
          <w:tcPr>
            <w:tcW w:w="1040" w:type="dxa"/>
            <w:vAlign w:val="center"/>
            <w:hideMark/>
          </w:tcPr>
          <w:p w14:paraId="5C7F0AF9" w14:textId="77777777" w:rsidR="00DE3C06" w:rsidRPr="001E37D8" w:rsidRDefault="00DE3C06" w:rsidP="008A49D0">
            <w:pPr>
              <w:spacing w:after="0" w:line="240" w:lineRule="auto"/>
              <w:jc w:val="center"/>
              <w:rPr>
                <w:rFonts w:eastAsia="Times New Roman" w:cs="Calibri"/>
                <w:b/>
                <w:bCs/>
                <w:sz w:val="22"/>
                <w:szCs w:val="22"/>
                <w:lang w:eastAsia="es-CO"/>
              </w:rPr>
            </w:pPr>
            <w:r w:rsidRPr="001E37D8">
              <w:rPr>
                <w:rFonts w:eastAsia="Times New Roman" w:cs="Calibri"/>
                <w:b/>
                <w:bCs/>
                <w:sz w:val="22"/>
                <w:szCs w:val="22"/>
                <w:lang w:eastAsia="es-CO"/>
              </w:rPr>
              <w:t>29.D</w:t>
            </w:r>
          </w:p>
        </w:tc>
        <w:tc>
          <w:tcPr>
            <w:tcW w:w="3780" w:type="dxa"/>
            <w:vAlign w:val="center"/>
            <w:hideMark/>
          </w:tcPr>
          <w:p w14:paraId="10D4E8C6" w14:textId="77777777" w:rsidR="00DE3C06" w:rsidRPr="001E37D8" w:rsidRDefault="00DE3C06" w:rsidP="008A49D0">
            <w:pPr>
              <w:spacing w:after="0" w:line="240" w:lineRule="auto"/>
              <w:rPr>
                <w:rFonts w:eastAsia="Times New Roman" w:cs="Calibri"/>
                <w:sz w:val="22"/>
                <w:szCs w:val="22"/>
                <w:lang w:eastAsia="es-CO"/>
              </w:rPr>
            </w:pPr>
            <w:r w:rsidRPr="001E37D8">
              <w:rPr>
                <w:rFonts w:eastAsia="Times New Roman" w:cs="Calibri"/>
                <w:sz w:val="22"/>
                <w:szCs w:val="22"/>
                <w:lang w:eastAsia="es-CO"/>
              </w:rPr>
              <w:t>Acciones de tutela 2023-2026</w:t>
            </w:r>
          </w:p>
        </w:tc>
        <w:tc>
          <w:tcPr>
            <w:tcW w:w="3118" w:type="dxa"/>
            <w:vMerge/>
            <w:vAlign w:val="center"/>
            <w:hideMark/>
          </w:tcPr>
          <w:p w14:paraId="52F2A023" w14:textId="77777777" w:rsidR="00DE3C06" w:rsidRPr="001E37D8" w:rsidRDefault="00DE3C06" w:rsidP="008A49D0">
            <w:pPr>
              <w:spacing w:after="0" w:line="240" w:lineRule="auto"/>
              <w:rPr>
                <w:rFonts w:eastAsia="Times New Roman" w:cs="Calibri"/>
                <w:sz w:val="22"/>
                <w:szCs w:val="22"/>
                <w:lang w:eastAsia="es-CO"/>
              </w:rPr>
            </w:pPr>
          </w:p>
        </w:tc>
      </w:tr>
      <w:tr w:rsidR="00DE3C06" w:rsidRPr="001E37D8" w14:paraId="1CE1F65D" w14:textId="77777777" w:rsidTr="008A49D0">
        <w:trPr>
          <w:trHeight w:val="264"/>
        </w:trPr>
        <w:tc>
          <w:tcPr>
            <w:tcW w:w="1040" w:type="dxa"/>
            <w:vAlign w:val="center"/>
            <w:hideMark/>
          </w:tcPr>
          <w:p w14:paraId="41DBA623" w14:textId="77777777" w:rsidR="00DE3C06" w:rsidRPr="001E37D8" w:rsidRDefault="00DE3C06" w:rsidP="008A49D0">
            <w:pPr>
              <w:spacing w:after="0" w:line="240" w:lineRule="auto"/>
              <w:jc w:val="center"/>
              <w:rPr>
                <w:rFonts w:eastAsia="Times New Roman" w:cs="Calibri"/>
                <w:b/>
                <w:bCs/>
                <w:sz w:val="22"/>
                <w:szCs w:val="22"/>
                <w:lang w:eastAsia="es-CO"/>
              </w:rPr>
            </w:pPr>
            <w:r w:rsidRPr="001E37D8">
              <w:rPr>
                <w:rFonts w:eastAsia="Times New Roman" w:cs="Calibri"/>
                <w:b/>
                <w:bCs/>
                <w:sz w:val="22"/>
                <w:szCs w:val="22"/>
                <w:lang w:eastAsia="es-CO"/>
              </w:rPr>
              <w:t>29.E</w:t>
            </w:r>
          </w:p>
        </w:tc>
        <w:tc>
          <w:tcPr>
            <w:tcW w:w="3780" w:type="dxa"/>
            <w:vAlign w:val="center"/>
            <w:hideMark/>
          </w:tcPr>
          <w:p w14:paraId="22815CF7" w14:textId="77777777" w:rsidR="00DE3C06" w:rsidRPr="001E37D8" w:rsidRDefault="00DE3C06" w:rsidP="008A49D0">
            <w:pPr>
              <w:spacing w:after="0" w:line="240" w:lineRule="auto"/>
              <w:rPr>
                <w:rFonts w:eastAsia="Times New Roman" w:cs="Calibri"/>
                <w:sz w:val="22"/>
                <w:szCs w:val="22"/>
                <w:lang w:eastAsia="es-CO"/>
              </w:rPr>
            </w:pPr>
            <w:r w:rsidRPr="001E37D8">
              <w:rPr>
                <w:rFonts w:eastAsia="Times New Roman" w:cs="Calibri"/>
                <w:sz w:val="22"/>
                <w:szCs w:val="22"/>
                <w:lang w:eastAsia="es-CO"/>
              </w:rPr>
              <w:t>Procesos JEP ART.</w:t>
            </w:r>
          </w:p>
        </w:tc>
        <w:tc>
          <w:tcPr>
            <w:tcW w:w="3118" w:type="dxa"/>
            <w:vMerge/>
            <w:vAlign w:val="center"/>
            <w:hideMark/>
          </w:tcPr>
          <w:p w14:paraId="57D837CF" w14:textId="77777777" w:rsidR="00DE3C06" w:rsidRPr="001E37D8" w:rsidRDefault="00DE3C06" w:rsidP="008A49D0">
            <w:pPr>
              <w:spacing w:after="0" w:line="240" w:lineRule="auto"/>
              <w:rPr>
                <w:rFonts w:eastAsia="Times New Roman" w:cs="Calibri"/>
                <w:sz w:val="22"/>
                <w:szCs w:val="22"/>
                <w:lang w:eastAsia="es-CO"/>
              </w:rPr>
            </w:pPr>
          </w:p>
        </w:tc>
      </w:tr>
      <w:tr w:rsidR="00DE3C06" w:rsidRPr="001E37D8" w14:paraId="132F587F" w14:textId="77777777" w:rsidTr="008A49D0">
        <w:trPr>
          <w:trHeight w:val="264"/>
        </w:trPr>
        <w:tc>
          <w:tcPr>
            <w:tcW w:w="1040" w:type="dxa"/>
            <w:vAlign w:val="center"/>
            <w:hideMark/>
          </w:tcPr>
          <w:p w14:paraId="23B5126C" w14:textId="77777777" w:rsidR="00DE3C06" w:rsidRPr="001E37D8" w:rsidRDefault="00DE3C06" w:rsidP="008A49D0">
            <w:pPr>
              <w:spacing w:after="0" w:line="240" w:lineRule="auto"/>
              <w:jc w:val="center"/>
              <w:rPr>
                <w:rFonts w:eastAsia="Times New Roman" w:cs="Calibri"/>
                <w:b/>
                <w:bCs/>
                <w:sz w:val="22"/>
                <w:szCs w:val="22"/>
                <w:lang w:eastAsia="es-CO"/>
              </w:rPr>
            </w:pPr>
            <w:r w:rsidRPr="001E37D8">
              <w:rPr>
                <w:rFonts w:eastAsia="Times New Roman" w:cs="Calibri"/>
                <w:b/>
                <w:bCs/>
                <w:sz w:val="22"/>
                <w:szCs w:val="22"/>
                <w:lang w:eastAsia="es-CO"/>
              </w:rPr>
              <w:t>29.F</w:t>
            </w:r>
          </w:p>
        </w:tc>
        <w:tc>
          <w:tcPr>
            <w:tcW w:w="3780" w:type="dxa"/>
            <w:vAlign w:val="center"/>
            <w:hideMark/>
          </w:tcPr>
          <w:p w14:paraId="74907B65" w14:textId="77777777" w:rsidR="00DE3C06" w:rsidRPr="001E37D8" w:rsidRDefault="00DE3C06" w:rsidP="008A49D0">
            <w:pPr>
              <w:spacing w:after="0" w:line="240" w:lineRule="auto"/>
              <w:rPr>
                <w:rFonts w:eastAsia="Times New Roman" w:cs="Calibri"/>
                <w:sz w:val="22"/>
                <w:szCs w:val="22"/>
                <w:lang w:eastAsia="es-CO"/>
              </w:rPr>
            </w:pPr>
            <w:r w:rsidRPr="001E37D8">
              <w:rPr>
                <w:rFonts w:eastAsia="Times New Roman" w:cs="Calibri"/>
                <w:sz w:val="22"/>
                <w:szCs w:val="22"/>
                <w:lang w:eastAsia="es-CO"/>
              </w:rPr>
              <w:t>Procesos étnicos ART</w:t>
            </w:r>
          </w:p>
        </w:tc>
        <w:tc>
          <w:tcPr>
            <w:tcW w:w="3118" w:type="dxa"/>
            <w:vMerge/>
            <w:vAlign w:val="center"/>
            <w:hideMark/>
          </w:tcPr>
          <w:p w14:paraId="65DABA70" w14:textId="77777777" w:rsidR="00DE3C06" w:rsidRPr="001E37D8" w:rsidRDefault="00DE3C06" w:rsidP="008A49D0">
            <w:pPr>
              <w:spacing w:after="0" w:line="240" w:lineRule="auto"/>
              <w:rPr>
                <w:rFonts w:eastAsia="Times New Roman" w:cs="Calibri"/>
                <w:sz w:val="22"/>
                <w:szCs w:val="22"/>
                <w:lang w:eastAsia="es-CO"/>
              </w:rPr>
            </w:pPr>
          </w:p>
        </w:tc>
      </w:tr>
      <w:tr w:rsidR="00DE3C06" w:rsidRPr="001E37D8" w14:paraId="31F45308" w14:textId="77777777" w:rsidTr="008A49D0">
        <w:trPr>
          <w:trHeight w:val="264"/>
        </w:trPr>
        <w:tc>
          <w:tcPr>
            <w:tcW w:w="1040" w:type="dxa"/>
            <w:vAlign w:val="center"/>
          </w:tcPr>
          <w:p w14:paraId="1A62B2A4" w14:textId="77777777" w:rsidR="00DE3C06" w:rsidRPr="001E37D8" w:rsidRDefault="00DE3C06" w:rsidP="008A49D0">
            <w:pPr>
              <w:spacing w:after="0" w:line="240" w:lineRule="auto"/>
              <w:jc w:val="center"/>
              <w:rPr>
                <w:rFonts w:eastAsia="Times New Roman" w:cs="Calibri"/>
                <w:b/>
                <w:bCs/>
                <w:sz w:val="22"/>
                <w:szCs w:val="22"/>
                <w:lang w:eastAsia="es-CO"/>
              </w:rPr>
            </w:pPr>
            <w:r w:rsidRPr="001E37D8">
              <w:rPr>
                <w:rFonts w:eastAsia="Times New Roman" w:cs="Calibri"/>
                <w:b/>
                <w:bCs/>
                <w:sz w:val="22"/>
                <w:szCs w:val="22"/>
                <w:lang w:eastAsia="es-CO"/>
              </w:rPr>
              <w:lastRenderedPageBreak/>
              <w:t>30</w:t>
            </w:r>
          </w:p>
        </w:tc>
        <w:tc>
          <w:tcPr>
            <w:tcW w:w="3780" w:type="dxa"/>
            <w:vAlign w:val="center"/>
          </w:tcPr>
          <w:p w14:paraId="576C0163" w14:textId="77777777" w:rsidR="00DE3C06" w:rsidRPr="001E37D8" w:rsidRDefault="00DE3C06" w:rsidP="008A49D0">
            <w:pPr>
              <w:spacing w:after="0" w:line="240" w:lineRule="auto"/>
              <w:rPr>
                <w:rFonts w:eastAsia="Times New Roman" w:cs="Calibri"/>
                <w:sz w:val="22"/>
                <w:szCs w:val="22"/>
                <w:lang w:eastAsia="es-CO"/>
              </w:rPr>
            </w:pPr>
            <w:r w:rsidRPr="001E37D8">
              <w:rPr>
                <w:rFonts w:eastAsia="Times New Roman" w:cs="Calibri"/>
                <w:sz w:val="22"/>
                <w:szCs w:val="22"/>
                <w:lang w:eastAsia="es-CO"/>
              </w:rPr>
              <w:t>Procesos Disciplinarios</w:t>
            </w:r>
          </w:p>
        </w:tc>
        <w:tc>
          <w:tcPr>
            <w:tcW w:w="3118" w:type="dxa"/>
            <w:vAlign w:val="center"/>
          </w:tcPr>
          <w:p w14:paraId="657E1B90" w14:textId="77777777" w:rsidR="00DE3C06" w:rsidRPr="001E37D8" w:rsidRDefault="00DE3C06" w:rsidP="008A49D0">
            <w:pPr>
              <w:spacing w:after="0" w:line="240" w:lineRule="auto"/>
              <w:rPr>
                <w:rFonts w:eastAsia="Times New Roman" w:cs="Calibri"/>
                <w:sz w:val="22"/>
                <w:szCs w:val="22"/>
                <w:lang w:eastAsia="es-CO"/>
              </w:rPr>
            </w:pPr>
            <w:r w:rsidRPr="001E37D8">
              <w:rPr>
                <w:rFonts w:eastAsia="Times New Roman" w:cs="Calibri"/>
                <w:sz w:val="22"/>
                <w:szCs w:val="22"/>
                <w:lang w:eastAsia="es-CO"/>
              </w:rPr>
              <w:t>10.2 Procesos disciplinarios</w:t>
            </w:r>
          </w:p>
        </w:tc>
      </w:tr>
      <w:tr w:rsidR="00DE3C06" w:rsidRPr="001E37D8" w14:paraId="1D2A9449" w14:textId="77777777" w:rsidTr="008A49D0">
        <w:trPr>
          <w:trHeight w:val="264"/>
        </w:trPr>
        <w:tc>
          <w:tcPr>
            <w:tcW w:w="1040" w:type="dxa"/>
            <w:vAlign w:val="center"/>
          </w:tcPr>
          <w:p w14:paraId="05222D15" w14:textId="77777777" w:rsidR="00DE3C06" w:rsidRPr="001E37D8" w:rsidRDefault="00DE3C06" w:rsidP="008A49D0">
            <w:pPr>
              <w:spacing w:after="0" w:line="240" w:lineRule="auto"/>
              <w:jc w:val="center"/>
              <w:rPr>
                <w:rFonts w:eastAsia="Times New Roman" w:cs="Calibri"/>
                <w:b/>
                <w:bCs/>
                <w:sz w:val="22"/>
                <w:szCs w:val="22"/>
                <w:lang w:eastAsia="es-CO"/>
              </w:rPr>
            </w:pPr>
            <w:r w:rsidRPr="001E37D8">
              <w:rPr>
                <w:rFonts w:eastAsia="Times New Roman" w:cs="Calibri"/>
                <w:b/>
                <w:bCs/>
                <w:sz w:val="22"/>
                <w:szCs w:val="22"/>
                <w:lang w:eastAsia="es-CO"/>
              </w:rPr>
              <w:t>31</w:t>
            </w:r>
          </w:p>
        </w:tc>
        <w:tc>
          <w:tcPr>
            <w:tcW w:w="3780" w:type="dxa"/>
            <w:vAlign w:val="center"/>
          </w:tcPr>
          <w:p w14:paraId="0B282392" w14:textId="77777777" w:rsidR="00DE3C06" w:rsidRPr="001E37D8" w:rsidRDefault="00DE3C06" w:rsidP="008A49D0">
            <w:pPr>
              <w:spacing w:after="0" w:line="240" w:lineRule="auto"/>
              <w:rPr>
                <w:rFonts w:eastAsia="Times New Roman" w:cs="Calibri"/>
                <w:sz w:val="22"/>
                <w:szCs w:val="22"/>
                <w:lang w:eastAsia="es-CO"/>
              </w:rPr>
            </w:pPr>
            <w:r w:rsidRPr="001E37D8">
              <w:rPr>
                <w:rFonts w:eastAsia="Times New Roman" w:cs="Calibri"/>
                <w:sz w:val="22"/>
                <w:szCs w:val="22"/>
                <w:lang w:eastAsia="es-CO"/>
              </w:rPr>
              <w:t>Estado del Sistema de Control. Interno</w:t>
            </w:r>
          </w:p>
        </w:tc>
        <w:tc>
          <w:tcPr>
            <w:tcW w:w="3118" w:type="dxa"/>
            <w:vAlign w:val="center"/>
          </w:tcPr>
          <w:p w14:paraId="1DE96092" w14:textId="77777777" w:rsidR="00DE3C06" w:rsidRPr="001E37D8" w:rsidRDefault="00DE3C06" w:rsidP="008A49D0">
            <w:pPr>
              <w:pStyle w:val="TDC1"/>
              <w:tabs>
                <w:tab w:val="right" w:leader="dot" w:pos="9016"/>
              </w:tabs>
              <w:rPr>
                <w:rFonts w:eastAsia="Times New Roman" w:cs="Calibri"/>
                <w:sz w:val="22"/>
                <w:szCs w:val="22"/>
                <w:lang w:val="es-CO" w:eastAsia="es-CO"/>
              </w:rPr>
            </w:pPr>
            <w:r w:rsidRPr="001E37D8">
              <w:rPr>
                <w:rFonts w:eastAsia="Times New Roman" w:cs="Calibri"/>
                <w:sz w:val="22"/>
                <w:szCs w:val="22"/>
                <w:lang w:val="es-CO" w:eastAsia="es-CO"/>
              </w:rPr>
              <w:t>10.3 Estado del sistema de control interno</w:t>
            </w:r>
          </w:p>
        </w:tc>
      </w:tr>
      <w:tr w:rsidR="00DE3C06" w:rsidRPr="001E37D8" w14:paraId="31C33EEB" w14:textId="77777777" w:rsidTr="008A49D0">
        <w:trPr>
          <w:trHeight w:val="264"/>
        </w:trPr>
        <w:tc>
          <w:tcPr>
            <w:tcW w:w="1040" w:type="dxa"/>
            <w:vAlign w:val="center"/>
          </w:tcPr>
          <w:p w14:paraId="058786CB" w14:textId="77777777" w:rsidR="00DE3C06" w:rsidRPr="001E37D8" w:rsidRDefault="00DE3C06" w:rsidP="008A49D0">
            <w:pPr>
              <w:spacing w:after="0" w:line="240" w:lineRule="auto"/>
              <w:jc w:val="center"/>
              <w:rPr>
                <w:rFonts w:eastAsia="Times New Roman" w:cs="Calibri"/>
                <w:b/>
                <w:bCs/>
                <w:sz w:val="22"/>
                <w:szCs w:val="22"/>
                <w:lang w:eastAsia="es-CO"/>
              </w:rPr>
            </w:pPr>
            <w:r w:rsidRPr="001E37D8">
              <w:rPr>
                <w:rFonts w:eastAsia="Times New Roman" w:cs="Calibri"/>
                <w:b/>
                <w:bCs/>
                <w:sz w:val="22"/>
                <w:szCs w:val="22"/>
                <w:lang w:eastAsia="es-CO"/>
              </w:rPr>
              <w:t>32</w:t>
            </w:r>
          </w:p>
        </w:tc>
        <w:tc>
          <w:tcPr>
            <w:tcW w:w="3780" w:type="dxa"/>
            <w:vAlign w:val="center"/>
          </w:tcPr>
          <w:p w14:paraId="3B4ADE28" w14:textId="77777777" w:rsidR="00DE3C06" w:rsidRPr="001E37D8" w:rsidRDefault="00DE3C06" w:rsidP="008A49D0">
            <w:pPr>
              <w:spacing w:after="0" w:line="240" w:lineRule="auto"/>
              <w:rPr>
                <w:rFonts w:eastAsia="Times New Roman" w:cs="Calibri"/>
                <w:sz w:val="22"/>
                <w:szCs w:val="22"/>
                <w:lang w:eastAsia="es-CO"/>
              </w:rPr>
            </w:pPr>
            <w:r w:rsidRPr="001E37D8">
              <w:rPr>
                <w:rFonts w:eastAsia="Times New Roman" w:cs="Calibri"/>
                <w:sz w:val="22"/>
                <w:szCs w:val="22"/>
                <w:lang w:eastAsia="es-CO"/>
              </w:rPr>
              <w:t>Plan de Mejoramiento Institucional</w:t>
            </w:r>
          </w:p>
        </w:tc>
        <w:tc>
          <w:tcPr>
            <w:tcW w:w="3118" w:type="dxa"/>
            <w:vAlign w:val="center"/>
          </w:tcPr>
          <w:p w14:paraId="42397827" w14:textId="77777777" w:rsidR="00DE3C06" w:rsidRPr="001E37D8" w:rsidRDefault="00DE3C06" w:rsidP="008A49D0">
            <w:pPr>
              <w:spacing w:after="0" w:line="240" w:lineRule="auto"/>
              <w:rPr>
                <w:rFonts w:eastAsia="Times New Roman" w:cs="Calibri"/>
                <w:sz w:val="22"/>
                <w:szCs w:val="22"/>
                <w:lang w:eastAsia="es-CO"/>
              </w:rPr>
            </w:pPr>
            <w:r w:rsidRPr="001E37D8">
              <w:rPr>
                <w:rFonts w:eastAsia="Times New Roman" w:cs="Calibri"/>
                <w:sz w:val="22"/>
                <w:szCs w:val="22"/>
                <w:lang w:eastAsia="es-CO"/>
              </w:rPr>
              <w:t>10.4   Planes de mejoramiento</w:t>
            </w:r>
          </w:p>
        </w:tc>
      </w:tr>
      <w:tr w:rsidR="00DE3C06" w:rsidRPr="001E37D8" w14:paraId="6FCE05B7" w14:textId="77777777" w:rsidTr="008A49D0">
        <w:trPr>
          <w:trHeight w:val="264"/>
        </w:trPr>
        <w:tc>
          <w:tcPr>
            <w:tcW w:w="1040" w:type="dxa"/>
            <w:vAlign w:val="center"/>
          </w:tcPr>
          <w:p w14:paraId="2A51938A" w14:textId="77777777" w:rsidR="00DE3C06" w:rsidRPr="001E37D8" w:rsidRDefault="00DE3C06" w:rsidP="008A49D0">
            <w:pPr>
              <w:spacing w:after="0" w:line="240" w:lineRule="auto"/>
              <w:jc w:val="center"/>
              <w:rPr>
                <w:rFonts w:eastAsia="Times New Roman" w:cs="Calibri"/>
                <w:b/>
                <w:bCs/>
                <w:sz w:val="22"/>
                <w:szCs w:val="22"/>
                <w:lang w:eastAsia="es-CO"/>
              </w:rPr>
            </w:pPr>
            <w:r w:rsidRPr="001E37D8">
              <w:rPr>
                <w:rFonts w:eastAsia="Times New Roman" w:cs="Calibri"/>
                <w:b/>
                <w:bCs/>
                <w:sz w:val="22"/>
                <w:szCs w:val="22"/>
                <w:lang w:eastAsia="es-CO"/>
              </w:rPr>
              <w:t>33</w:t>
            </w:r>
          </w:p>
        </w:tc>
        <w:tc>
          <w:tcPr>
            <w:tcW w:w="3780" w:type="dxa"/>
            <w:vAlign w:val="center"/>
          </w:tcPr>
          <w:p w14:paraId="1695EAA1" w14:textId="77777777" w:rsidR="00DE3C06" w:rsidRPr="001E37D8" w:rsidRDefault="00DE3C06" w:rsidP="008A49D0">
            <w:pPr>
              <w:spacing w:after="0" w:line="240" w:lineRule="auto"/>
              <w:rPr>
                <w:rFonts w:eastAsia="Times New Roman" w:cs="Calibri"/>
                <w:sz w:val="22"/>
                <w:szCs w:val="22"/>
                <w:lang w:eastAsia="es-CO"/>
              </w:rPr>
            </w:pPr>
            <w:r w:rsidRPr="001E37D8">
              <w:rPr>
                <w:rFonts w:eastAsia="Times New Roman" w:cs="Calibri"/>
                <w:sz w:val="22"/>
                <w:szCs w:val="22"/>
                <w:lang w:eastAsia="es-CO"/>
              </w:rPr>
              <w:t>Mapa de Riesgos</w:t>
            </w:r>
          </w:p>
        </w:tc>
        <w:tc>
          <w:tcPr>
            <w:tcW w:w="3118" w:type="dxa"/>
            <w:vAlign w:val="center"/>
          </w:tcPr>
          <w:p w14:paraId="1056DFA2" w14:textId="77777777" w:rsidR="00DE3C06" w:rsidRPr="001E37D8" w:rsidRDefault="00DE3C06" w:rsidP="008A49D0">
            <w:pPr>
              <w:spacing w:after="0" w:line="240" w:lineRule="auto"/>
              <w:rPr>
                <w:rFonts w:eastAsia="Times New Roman" w:cs="Calibri"/>
                <w:sz w:val="22"/>
                <w:szCs w:val="22"/>
                <w:lang w:eastAsia="es-CO"/>
              </w:rPr>
            </w:pPr>
            <w:r w:rsidRPr="001E37D8">
              <w:rPr>
                <w:rFonts w:eastAsia="Times New Roman" w:cs="Calibri"/>
                <w:sz w:val="22"/>
                <w:szCs w:val="22"/>
                <w:lang w:eastAsia="es-CO"/>
              </w:rPr>
              <w:t>10.5 Mapa de Riesgos</w:t>
            </w:r>
          </w:p>
        </w:tc>
      </w:tr>
      <w:tr w:rsidR="00DE3C06" w:rsidRPr="001E37D8" w14:paraId="3FD7F963" w14:textId="77777777" w:rsidTr="008A49D0">
        <w:trPr>
          <w:trHeight w:val="264"/>
        </w:trPr>
        <w:tc>
          <w:tcPr>
            <w:tcW w:w="1040" w:type="dxa"/>
          </w:tcPr>
          <w:p w14:paraId="4DBE42B4" w14:textId="77777777" w:rsidR="00DE3C06" w:rsidRPr="001E37D8" w:rsidRDefault="00DE3C06" w:rsidP="008A49D0">
            <w:pPr>
              <w:spacing w:after="0" w:line="240" w:lineRule="auto"/>
              <w:jc w:val="center"/>
              <w:rPr>
                <w:rFonts w:eastAsia="Times New Roman" w:cs="Calibri"/>
                <w:b/>
                <w:bCs/>
                <w:sz w:val="22"/>
                <w:szCs w:val="22"/>
                <w:lang w:eastAsia="es-CO"/>
              </w:rPr>
            </w:pPr>
            <w:r w:rsidRPr="001E37D8">
              <w:rPr>
                <w:b/>
                <w:bCs/>
                <w:sz w:val="22"/>
                <w:szCs w:val="22"/>
              </w:rPr>
              <w:t>34</w:t>
            </w:r>
          </w:p>
        </w:tc>
        <w:tc>
          <w:tcPr>
            <w:tcW w:w="3780" w:type="dxa"/>
          </w:tcPr>
          <w:p w14:paraId="1711CBBC" w14:textId="77777777" w:rsidR="00DE3C06" w:rsidRPr="001E37D8" w:rsidRDefault="00DE3C06" w:rsidP="008A49D0">
            <w:pPr>
              <w:spacing w:after="0" w:line="240" w:lineRule="auto"/>
              <w:rPr>
                <w:rFonts w:eastAsia="Times New Roman" w:cs="Calibri"/>
                <w:sz w:val="22"/>
                <w:szCs w:val="22"/>
                <w:lang w:eastAsia="es-CO"/>
              </w:rPr>
            </w:pPr>
            <w:r w:rsidRPr="001E37D8">
              <w:rPr>
                <w:sz w:val="22"/>
                <w:szCs w:val="22"/>
              </w:rPr>
              <w:t>Proyectos concertados en espacios comunitarios</w:t>
            </w:r>
          </w:p>
        </w:tc>
        <w:tc>
          <w:tcPr>
            <w:tcW w:w="3118" w:type="dxa"/>
            <w:vMerge w:val="restart"/>
            <w:vAlign w:val="center"/>
          </w:tcPr>
          <w:p w14:paraId="20C1A4B2" w14:textId="77777777" w:rsidR="00DE3C06" w:rsidRPr="001E37D8" w:rsidRDefault="00DE3C06" w:rsidP="008A49D0">
            <w:pPr>
              <w:pStyle w:val="TDC1"/>
              <w:tabs>
                <w:tab w:val="left" w:pos="660"/>
                <w:tab w:val="right" w:leader="dot" w:pos="9016"/>
              </w:tabs>
              <w:rPr>
                <w:rFonts w:eastAsia="Times New Roman" w:cs="Calibri"/>
                <w:sz w:val="22"/>
                <w:szCs w:val="22"/>
                <w:lang w:val="es-CO" w:eastAsia="es-CO"/>
              </w:rPr>
            </w:pPr>
            <w:r w:rsidRPr="001E37D8">
              <w:rPr>
                <w:rFonts w:eastAsia="Times New Roman" w:cs="Calibri"/>
                <w:sz w:val="22"/>
                <w:szCs w:val="22"/>
                <w:lang w:val="es-CO" w:eastAsia="es-CO"/>
              </w:rPr>
              <w:t>11.</w:t>
            </w:r>
            <w:r w:rsidRPr="001E37D8">
              <w:rPr>
                <w:rFonts w:eastAsia="Times New Roman" w:cs="Calibri"/>
                <w:sz w:val="22"/>
                <w:szCs w:val="22"/>
                <w:lang w:val="es-CO" w:eastAsia="es-CO"/>
              </w:rPr>
              <w:tab/>
              <w:t xml:space="preserve">Temas prioritarios </w:t>
            </w:r>
          </w:p>
        </w:tc>
      </w:tr>
      <w:tr w:rsidR="00DE3C06" w:rsidRPr="001E37D8" w14:paraId="6957FFEA" w14:textId="77777777" w:rsidTr="008A49D0">
        <w:trPr>
          <w:trHeight w:val="264"/>
        </w:trPr>
        <w:tc>
          <w:tcPr>
            <w:tcW w:w="1040" w:type="dxa"/>
            <w:vAlign w:val="center"/>
          </w:tcPr>
          <w:p w14:paraId="5B8711B2" w14:textId="77777777" w:rsidR="00DE3C06" w:rsidRPr="001E37D8" w:rsidRDefault="00DE3C06" w:rsidP="008A49D0">
            <w:pPr>
              <w:spacing w:after="0" w:line="240" w:lineRule="auto"/>
              <w:jc w:val="center"/>
              <w:rPr>
                <w:rFonts w:eastAsia="Times New Roman" w:cs="Calibri"/>
                <w:b/>
                <w:bCs/>
                <w:sz w:val="22"/>
                <w:szCs w:val="22"/>
                <w:lang w:eastAsia="es-CO"/>
              </w:rPr>
            </w:pPr>
            <w:r w:rsidRPr="001E37D8">
              <w:rPr>
                <w:rFonts w:eastAsia="Times New Roman" w:cs="Calibri"/>
                <w:b/>
                <w:bCs/>
                <w:sz w:val="22"/>
                <w:szCs w:val="22"/>
                <w:lang w:eastAsia="es-CO"/>
              </w:rPr>
              <w:t>35</w:t>
            </w:r>
          </w:p>
        </w:tc>
        <w:tc>
          <w:tcPr>
            <w:tcW w:w="3780" w:type="dxa"/>
            <w:vAlign w:val="center"/>
          </w:tcPr>
          <w:p w14:paraId="67BEC57C" w14:textId="77777777" w:rsidR="00DE3C06" w:rsidRPr="001E37D8" w:rsidRDefault="00DE3C06" w:rsidP="008A49D0">
            <w:pPr>
              <w:spacing w:after="0" w:line="240" w:lineRule="auto"/>
              <w:rPr>
                <w:rFonts w:eastAsia="Times New Roman" w:cs="Calibri"/>
                <w:sz w:val="22"/>
                <w:szCs w:val="22"/>
                <w:lang w:eastAsia="es-CO"/>
              </w:rPr>
            </w:pPr>
            <w:r w:rsidRPr="001E37D8">
              <w:rPr>
                <w:rFonts w:eastAsia="Times New Roman" w:cs="Calibri"/>
                <w:sz w:val="22"/>
                <w:szCs w:val="22"/>
                <w:lang w:eastAsia="es-CO"/>
              </w:rPr>
              <w:t>Proyectos en ejecución DEEP</w:t>
            </w:r>
          </w:p>
        </w:tc>
        <w:tc>
          <w:tcPr>
            <w:tcW w:w="3118" w:type="dxa"/>
            <w:vMerge/>
            <w:vAlign w:val="center"/>
          </w:tcPr>
          <w:p w14:paraId="1CAB0E80" w14:textId="77777777" w:rsidR="00DE3C06" w:rsidRPr="001E37D8" w:rsidRDefault="00DE3C06" w:rsidP="008A49D0">
            <w:pPr>
              <w:spacing w:after="0" w:line="240" w:lineRule="auto"/>
              <w:rPr>
                <w:rFonts w:eastAsia="Times New Roman" w:cs="Calibri"/>
                <w:sz w:val="22"/>
                <w:szCs w:val="22"/>
                <w:lang w:eastAsia="es-CO"/>
              </w:rPr>
            </w:pPr>
          </w:p>
        </w:tc>
      </w:tr>
      <w:tr w:rsidR="00DE3C06" w:rsidRPr="001E37D8" w14:paraId="30C764C9" w14:textId="77777777" w:rsidTr="008A49D0">
        <w:trPr>
          <w:trHeight w:val="264"/>
        </w:trPr>
        <w:tc>
          <w:tcPr>
            <w:tcW w:w="1040" w:type="dxa"/>
            <w:vAlign w:val="center"/>
          </w:tcPr>
          <w:p w14:paraId="7001B5C8" w14:textId="77777777" w:rsidR="00DE3C06" w:rsidRPr="001E37D8" w:rsidRDefault="00DE3C06" w:rsidP="008A49D0">
            <w:pPr>
              <w:spacing w:after="0" w:line="240" w:lineRule="auto"/>
              <w:jc w:val="center"/>
              <w:rPr>
                <w:rFonts w:eastAsia="Times New Roman" w:cs="Calibri"/>
                <w:b/>
                <w:bCs/>
                <w:sz w:val="22"/>
                <w:szCs w:val="22"/>
                <w:lang w:eastAsia="es-CO"/>
              </w:rPr>
            </w:pPr>
            <w:r w:rsidRPr="001E37D8">
              <w:rPr>
                <w:rFonts w:eastAsia="Times New Roman" w:cs="Calibri"/>
                <w:b/>
                <w:bCs/>
                <w:sz w:val="22"/>
                <w:szCs w:val="22"/>
                <w:lang w:eastAsia="es-CO"/>
              </w:rPr>
              <w:t>36</w:t>
            </w:r>
          </w:p>
        </w:tc>
        <w:tc>
          <w:tcPr>
            <w:tcW w:w="3780" w:type="dxa"/>
            <w:vAlign w:val="center"/>
          </w:tcPr>
          <w:p w14:paraId="0CA7AA94" w14:textId="77777777" w:rsidR="00DE3C06" w:rsidRPr="001E37D8" w:rsidRDefault="00DE3C06" w:rsidP="008A49D0">
            <w:pPr>
              <w:spacing w:after="0" w:line="240" w:lineRule="auto"/>
              <w:rPr>
                <w:rFonts w:eastAsia="Times New Roman" w:cs="Calibri"/>
                <w:sz w:val="22"/>
                <w:szCs w:val="22"/>
                <w:lang w:eastAsia="es-CO"/>
              </w:rPr>
            </w:pPr>
            <w:r w:rsidRPr="001E37D8">
              <w:rPr>
                <w:rFonts w:eastAsia="Times New Roman" w:cs="Calibri"/>
                <w:sz w:val="22"/>
                <w:szCs w:val="22"/>
                <w:lang w:eastAsia="es-CO"/>
              </w:rPr>
              <w:t>En liquidación julio</w:t>
            </w:r>
          </w:p>
        </w:tc>
        <w:tc>
          <w:tcPr>
            <w:tcW w:w="3118" w:type="dxa"/>
            <w:vMerge/>
            <w:vAlign w:val="center"/>
          </w:tcPr>
          <w:p w14:paraId="1747990E" w14:textId="77777777" w:rsidR="00DE3C06" w:rsidRPr="001E37D8" w:rsidRDefault="00DE3C06" w:rsidP="008A49D0">
            <w:pPr>
              <w:spacing w:after="0" w:line="240" w:lineRule="auto"/>
              <w:rPr>
                <w:rFonts w:eastAsia="Times New Roman" w:cs="Calibri"/>
                <w:sz w:val="22"/>
                <w:szCs w:val="22"/>
                <w:lang w:eastAsia="es-CO"/>
              </w:rPr>
            </w:pPr>
          </w:p>
        </w:tc>
      </w:tr>
      <w:tr w:rsidR="00DE3C06" w:rsidRPr="001E37D8" w14:paraId="42601234" w14:textId="77777777" w:rsidTr="008A49D0">
        <w:trPr>
          <w:trHeight w:val="264"/>
        </w:trPr>
        <w:tc>
          <w:tcPr>
            <w:tcW w:w="1040" w:type="dxa"/>
            <w:vAlign w:val="center"/>
          </w:tcPr>
          <w:p w14:paraId="6C723D6C" w14:textId="77777777" w:rsidR="00DE3C06" w:rsidRPr="001E37D8" w:rsidRDefault="00DE3C06" w:rsidP="008A49D0">
            <w:pPr>
              <w:spacing w:after="0" w:line="240" w:lineRule="auto"/>
              <w:jc w:val="center"/>
              <w:rPr>
                <w:rFonts w:eastAsia="Times New Roman" w:cs="Calibri"/>
                <w:b/>
                <w:bCs/>
                <w:sz w:val="22"/>
                <w:szCs w:val="22"/>
                <w:lang w:eastAsia="es-CO"/>
              </w:rPr>
            </w:pPr>
            <w:r w:rsidRPr="001E37D8">
              <w:rPr>
                <w:rFonts w:eastAsia="Times New Roman" w:cs="Calibri"/>
                <w:b/>
                <w:bCs/>
                <w:sz w:val="22"/>
                <w:szCs w:val="22"/>
                <w:lang w:eastAsia="es-CO"/>
              </w:rPr>
              <w:t>37</w:t>
            </w:r>
          </w:p>
        </w:tc>
        <w:tc>
          <w:tcPr>
            <w:tcW w:w="3780" w:type="dxa"/>
            <w:vAlign w:val="center"/>
          </w:tcPr>
          <w:p w14:paraId="75AB403B" w14:textId="77777777" w:rsidR="00DE3C06" w:rsidRPr="001E37D8" w:rsidRDefault="00DE3C06" w:rsidP="008A49D0">
            <w:pPr>
              <w:spacing w:after="0" w:line="240" w:lineRule="auto"/>
              <w:rPr>
                <w:rFonts w:eastAsia="Times New Roman" w:cs="Calibri"/>
                <w:sz w:val="22"/>
                <w:szCs w:val="22"/>
                <w:lang w:eastAsia="es-CO"/>
              </w:rPr>
            </w:pPr>
            <w:r w:rsidRPr="001E37D8">
              <w:rPr>
                <w:rFonts w:eastAsia="Times New Roman" w:cs="Calibri"/>
                <w:sz w:val="22"/>
                <w:szCs w:val="22"/>
                <w:lang w:eastAsia="es-CO"/>
              </w:rPr>
              <w:t>Suspensiones</w:t>
            </w:r>
          </w:p>
        </w:tc>
        <w:tc>
          <w:tcPr>
            <w:tcW w:w="3118" w:type="dxa"/>
            <w:vMerge/>
            <w:vAlign w:val="center"/>
          </w:tcPr>
          <w:p w14:paraId="45CC1C22" w14:textId="77777777" w:rsidR="00DE3C06" w:rsidRPr="001E37D8" w:rsidRDefault="00DE3C06" w:rsidP="008A49D0">
            <w:pPr>
              <w:spacing w:after="0" w:line="240" w:lineRule="auto"/>
              <w:rPr>
                <w:rFonts w:eastAsia="Times New Roman" w:cs="Calibri"/>
                <w:sz w:val="22"/>
                <w:szCs w:val="22"/>
                <w:lang w:eastAsia="es-CO"/>
              </w:rPr>
            </w:pPr>
          </w:p>
        </w:tc>
      </w:tr>
      <w:tr w:rsidR="00DE3C06" w:rsidRPr="001E37D8" w14:paraId="4F0EF09C" w14:textId="77777777" w:rsidTr="008A49D0">
        <w:trPr>
          <w:trHeight w:val="264"/>
        </w:trPr>
        <w:tc>
          <w:tcPr>
            <w:tcW w:w="1040" w:type="dxa"/>
            <w:vAlign w:val="center"/>
          </w:tcPr>
          <w:p w14:paraId="7AA72429" w14:textId="77777777" w:rsidR="00DE3C06" w:rsidRPr="001E37D8" w:rsidRDefault="00DE3C06" w:rsidP="008A49D0">
            <w:pPr>
              <w:spacing w:after="0" w:line="240" w:lineRule="auto"/>
              <w:jc w:val="center"/>
              <w:rPr>
                <w:rFonts w:eastAsia="Times New Roman" w:cs="Calibri"/>
                <w:b/>
                <w:bCs/>
                <w:sz w:val="22"/>
                <w:szCs w:val="22"/>
                <w:lang w:eastAsia="es-CO"/>
              </w:rPr>
            </w:pPr>
            <w:r w:rsidRPr="001E37D8">
              <w:rPr>
                <w:rFonts w:eastAsia="Times New Roman" w:cs="Calibri"/>
                <w:b/>
                <w:bCs/>
                <w:sz w:val="22"/>
                <w:szCs w:val="22"/>
                <w:lang w:eastAsia="es-CO"/>
              </w:rPr>
              <w:t>38</w:t>
            </w:r>
          </w:p>
        </w:tc>
        <w:tc>
          <w:tcPr>
            <w:tcW w:w="3780" w:type="dxa"/>
            <w:vAlign w:val="center"/>
          </w:tcPr>
          <w:p w14:paraId="79233FD6" w14:textId="77777777" w:rsidR="00DE3C06" w:rsidRPr="001E37D8" w:rsidRDefault="00DE3C06" w:rsidP="008A49D0">
            <w:pPr>
              <w:spacing w:after="0" w:line="240" w:lineRule="auto"/>
              <w:rPr>
                <w:rFonts w:eastAsia="Times New Roman" w:cs="Calibri"/>
                <w:sz w:val="22"/>
                <w:szCs w:val="22"/>
                <w:lang w:eastAsia="es-CO"/>
              </w:rPr>
            </w:pPr>
            <w:r w:rsidRPr="001E37D8">
              <w:rPr>
                <w:rFonts w:eastAsia="Times New Roman" w:cs="Calibri"/>
                <w:sz w:val="22"/>
                <w:szCs w:val="22"/>
                <w:lang w:eastAsia="es-CO"/>
              </w:rPr>
              <w:t>Reporte asuntos críticos compilado</w:t>
            </w:r>
          </w:p>
        </w:tc>
        <w:tc>
          <w:tcPr>
            <w:tcW w:w="3118" w:type="dxa"/>
            <w:vMerge/>
            <w:vAlign w:val="center"/>
          </w:tcPr>
          <w:p w14:paraId="5854FA30" w14:textId="77777777" w:rsidR="00DE3C06" w:rsidRPr="001E37D8" w:rsidRDefault="00DE3C06" w:rsidP="008A49D0">
            <w:pPr>
              <w:spacing w:after="0" w:line="240" w:lineRule="auto"/>
              <w:rPr>
                <w:rFonts w:eastAsia="Times New Roman" w:cs="Calibri"/>
                <w:sz w:val="22"/>
                <w:szCs w:val="22"/>
                <w:lang w:eastAsia="es-CO"/>
              </w:rPr>
            </w:pPr>
          </w:p>
        </w:tc>
      </w:tr>
      <w:tr w:rsidR="00DE3C06" w:rsidRPr="001E37D8" w14:paraId="48F79403" w14:textId="77777777" w:rsidTr="008A49D0">
        <w:trPr>
          <w:trHeight w:val="264"/>
        </w:trPr>
        <w:tc>
          <w:tcPr>
            <w:tcW w:w="1040" w:type="dxa"/>
            <w:vAlign w:val="center"/>
          </w:tcPr>
          <w:p w14:paraId="0B315D1A" w14:textId="77777777" w:rsidR="00DE3C06" w:rsidRPr="001E37D8" w:rsidRDefault="00DE3C06" w:rsidP="008A49D0">
            <w:pPr>
              <w:spacing w:after="0" w:line="240" w:lineRule="auto"/>
              <w:jc w:val="center"/>
              <w:rPr>
                <w:rFonts w:eastAsia="Times New Roman" w:cs="Calibri"/>
                <w:b/>
                <w:bCs/>
                <w:sz w:val="22"/>
                <w:szCs w:val="22"/>
                <w:lang w:eastAsia="es-CO"/>
              </w:rPr>
            </w:pPr>
            <w:r w:rsidRPr="001E37D8">
              <w:rPr>
                <w:rFonts w:eastAsia="Times New Roman" w:cs="Calibri"/>
                <w:b/>
                <w:bCs/>
                <w:sz w:val="22"/>
                <w:szCs w:val="22"/>
                <w:lang w:eastAsia="es-CO"/>
              </w:rPr>
              <w:t>39</w:t>
            </w:r>
          </w:p>
        </w:tc>
        <w:tc>
          <w:tcPr>
            <w:tcW w:w="3780" w:type="dxa"/>
            <w:vAlign w:val="center"/>
          </w:tcPr>
          <w:p w14:paraId="7FCD6C68" w14:textId="77777777" w:rsidR="00DE3C06" w:rsidRPr="001E37D8" w:rsidRDefault="00DE3C06" w:rsidP="008A49D0">
            <w:pPr>
              <w:spacing w:after="0" w:line="240" w:lineRule="auto"/>
              <w:rPr>
                <w:rFonts w:eastAsia="Times New Roman" w:cs="Calibri"/>
                <w:sz w:val="22"/>
                <w:szCs w:val="22"/>
                <w:lang w:eastAsia="es-CO"/>
              </w:rPr>
            </w:pPr>
            <w:r w:rsidRPr="001E37D8">
              <w:rPr>
                <w:rFonts w:eastAsia="Times New Roman" w:cs="Calibri"/>
                <w:sz w:val="22"/>
                <w:szCs w:val="22"/>
                <w:lang w:eastAsia="es-CO"/>
              </w:rPr>
              <w:t>Informe Procesos contractuales en reclamaciones legales- jul 2026</w:t>
            </w:r>
          </w:p>
        </w:tc>
        <w:tc>
          <w:tcPr>
            <w:tcW w:w="3118" w:type="dxa"/>
            <w:vMerge/>
            <w:vAlign w:val="center"/>
          </w:tcPr>
          <w:p w14:paraId="06C4DA4E" w14:textId="77777777" w:rsidR="00DE3C06" w:rsidRPr="001E37D8" w:rsidRDefault="00DE3C06" w:rsidP="008A49D0">
            <w:pPr>
              <w:spacing w:after="0" w:line="240" w:lineRule="auto"/>
              <w:rPr>
                <w:rFonts w:eastAsia="Times New Roman" w:cs="Calibri"/>
                <w:sz w:val="22"/>
                <w:szCs w:val="22"/>
                <w:lang w:eastAsia="es-CO"/>
              </w:rPr>
            </w:pPr>
          </w:p>
        </w:tc>
      </w:tr>
      <w:tr w:rsidR="00DE3C06" w:rsidRPr="001E37D8" w14:paraId="52A81CA7" w14:textId="77777777" w:rsidTr="008A49D0">
        <w:trPr>
          <w:trHeight w:val="264"/>
        </w:trPr>
        <w:tc>
          <w:tcPr>
            <w:tcW w:w="1040" w:type="dxa"/>
            <w:vAlign w:val="center"/>
          </w:tcPr>
          <w:p w14:paraId="5CF62156" w14:textId="77777777" w:rsidR="00DE3C06" w:rsidRPr="001E37D8" w:rsidRDefault="00DE3C06" w:rsidP="008A49D0">
            <w:pPr>
              <w:spacing w:after="0" w:line="240" w:lineRule="auto"/>
              <w:jc w:val="center"/>
              <w:rPr>
                <w:rFonts w:eastAsia="Times New Roman" w:cs="Calibri"/>
                <w:b/>
                <w:bCs/>
                <w:sz w:val="22"/>
                <w:szCs w:val="22"/>
                <w:lang w:eastAsia="es-CO"/>
              </w:rPr>
            </w:pPr>
            <w:r w:rsidRPr="001E37D8">
              <w:rPr>
                <w:rFonts w:eastAsia="Times New Roman" w:cs="Calibri"/>
                <w:b/>
                <w:bCs/>
                <w:sz w:val="22"/>
                <w:szCs w:val="22"/>
                <w:lang w:eastAsia="es-CO"/>
              </w:rPr>
              <w:t>40</w:t>
            </w:r>
          </w:p>
        </w:tc>
        <w:tc>
          <w:tcPr>
            <w:tcW w:w="3780" w:type="dxa"/>
            <w:vAlign w:val="center"/>
          </w:tcPr>
          <w:p w14:paraId="6969CFCF" w14:textId="77777777" w:rsidR="00DE3C06" w:rsidRPr="001E37D8" w:rsidRDefault="00DE3C06" w:rsidP="008A49D0">
            <w:pPr>
              <w:spacing w:after="0" w:line="240" w:lineRule="auto"/>
              <w:rPr>
                <w:rFonts w:eastAsia="Times New Roman" w:cs="Calibri"/>
                <w:sz w:val="22"/>
                <w:szCs w:val="22"/>
                <w:lang w:eastAsia="es-CO"/>
              </w:rPr>
            </w:pPr>
            <w:r w:rsidRPr="001E37D8">
              <w:rPr>
                <w:rFonts w:eastAsia="Times New Roman" w:cs="Calibri"/>
                <w:sz w:val="22"/>
                <w:szCs w:val="22"/>
                <w:lang w:eastAsia="es-CO"/>
              </w:rPr>
              <w:t>Sistemas de Información</w:t>
            </w:r>
          </w:p>
        </w:tc>
        <w:tc>
          <w:tcPr>
            <w:tcW w:w="3118" w:type="dxa"/>
            <w:vAlign w:val="center"/>
          </w:tcPr>
          <w:p w14:paraId="1B5623CC" w14:textId="77777777" w:rsidR="00DE3C06" w:rsidRPr="001E37D8" w:rsidRDefault="00DE3C06" w:rsidP="008A49D0">
            <w:pPr>
              <w:spacing w:after="0" w:line="240" w:lineRule="auto"/>
              <w:rPr>
                <w:rFonts w:eastAsia="Times New Roman" w:cs="Calibri"/>
                <w:sz w:val="22"/>
                <w:szCs w:val="22"/>
                <w:lang w:eastAsia="es-CO"/>
              </w:rPr>
            </w:pPr>
            <w:r w:rsidRPr="001E37D8">
              <w:rPr>
                <w:rFonts w:eastAsia="Times New Roman" w:cs="Calibri"/>
                <w:sz w:val="22"/>
                <w:szCs w:val="22"/>
                <w:lang w:eastAsia="es-CO"/>
              </w:rPr>
              <w:t>12.</w:t>
            </w:r>
            <w:r w:rsidRPr="001E37D8">
              <w:rPr>
                <w:rFonts w:eastAsia="Times New Roman" w:cs="Calibri"/>
                <w:sz w:val="22"/>
                <w:szCs w:val="22"/>
                <w:lang w:eastAsia="es-CO"/>
              </w:rPr>
              <w:tab/>
              <w:t>Sistemas de información y bases de datos</w:t>
            </w:r>
          </w:p>
        </w:tc>
      </w:tr>
    </w:tbl>
    <w:p w14:paraId="166020D1" w14:textId="77777777" w:rsidR="00DE3C06" w:rsidRPr="00733A44" w:rsidRDefault="00DE3C06" w:rsidP="00DE3C06">
      <w:pPr>
        <w:spacing w:line="276" w:lineRule="auto"/>
        <w:rPr>
          <w:sz w:val="22"/>
          <w:szCs w:val="22"/>
        </w:rPr>
      </w:pPr>
    </w:p>
    <w:p w14:paraId="00D7A5DB" w14:textId="77777777" w:rsidR="00DE3C06" w:rsidRPr="00C97171" w:rsidRDefault="00DE3C06" w:rsidP="00DE3C06">
      <w:pPr>
        <w:spacing w:line="276" w:lineRule="auto"/>
        <w:rPr>
          <w:sz w:val="22"/>
          <w:szCs w:val="22"/>
        </w:rPr>
      </w:pPr>
    </w:p>
    <w:p w14:paraId="6C027150" w14:textId="77777777" w:rsidR="00DE3C06" w:rsidRPr="00C97171" w:rsidRDefault="00DE3C06" w:rsidP="00DE3C06">
      <w:pPr>
        <w:keepNext/>
        <w:keepLines/>
        <w:spacing w:line="276" w:lineRule="auto"/>
        <w:ind w:firstLine="708"/>
        <w:rPr>
          <w:rFonts w:cs="Arial"/>
          <w:sz w:val="22"/>
          <w:szCs w:val="22"/>
        </w:rPr>
      </w:pPr>
    </w:p>
    <w:p w14:paraId="5F50AD87" w14:textId="77777777" w:rsidR="00D27FC5" w:rsidRDefault="00D27FC5" w:rsidP="00D27FC5"/>
    <w:p w14:paraId="58B1A378" w14:textId="77777777" w:rsidR="00D27FC5" w:rsidRDefault="00D27FC5" w:rsidP="00D27FC5"/>
    <w:p w14:paraId="721A4953" w14:textId="77777777" w:rsidR="00D27FC5" w:rsidRDefault="00D27FC5" w:rsidP="00D27FC5"/>
    <w:p w14:paraId="41350CBE" w14:textId="6715A4E4" w:rsidR="00E710EC" w:rsidRDefault="00E710EC" w:rsidP="00D27FC5"/>
    <w:sectPr w:rsidR="00E710EC">
      <w:headerReference w:type="default" r:id="rId38"/>
      <w:footerReference w:type="default" r:id="rId3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F8DDAA" w14:textId="77777777" w:rsidR="00E842E7" w:rsidRDefault="00E842E7" w:rsidP="00E710EC">
      <w:pPr>
        <w:spacing w:after="0" w:line="240" w:lineRule="auto"/>
      </w:pPr>
      <w:r>
        <w:separator/>
      </w:r>
    </w:p>
  </w:endnote>
  <w:endnote w:type="continuationSeparator" w:id="0">
    <w:p w14:paraId="72B9F938" w14:textId="77777777" w:rsidR="00E842E7" w:rsidRDefault="00E842E7" w:rsidP="00E710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Tempus Sans ITC">
    <w:panose1 w:val="04020404030D070202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Nunito">
    <w:charset w:val="00"/>
    <w:family w:val="auto"/>
    <w:pitch w:val="variable"/>
    <w:sig w:usb0="A00002FF" w:usb1="5000204B" w:usb2="00000000" w:usb3="00000000" w:csb0="00000197"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auto"/>
    <w:pitch w:val="variable"/>
    <w:sig w:usb0="E00002FF" w:usb1="5000785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5A46D3" w14:textId="7C862159" w:rsidR="00E710EC" w:rsidRDefault="00A14E07">
    <w:pPr>
      <w:pStyle w:val="Piedepgina"/>
    </w:pPr>
    <w:r>
      <w:ptab w:relativeTo="margin" w:alignment="center" w:leader="none"/>
    </w:r>
    <w:r w:rsidRPr="00A14E07">
      <w:rPr>
        <w:noProof/>
      </w:rPr>
      <w:drawing>
        <wp:inline distT="0" distB="0" distL="0" distR="0" wp14:anchorId="415ABA45" wp14:editId="3AED77F9">
          <wp:extent cx="3192905" cy="259753"/>
          <wp:effectExtent l="0" t="0" r="0" b="0"/>
          <wp:docPr id="202653917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539177" name=""/>
                  <pic:cNvPicPr/>
                </pic:nvPicPr>
                <pic:blipFill>
                  <a:blip r:embed="rId1"/>
                  <a:stretch>
                    <a:fillRect/>
                  </a:stretch>
                </pic:blipFill>
                <pic:spPr>
                  <a:xfrm>
                    <a:off x="0" y="0"/>
                    <a:ext cx="3371449" cy="274278"/>
                  </a:xfrm>
                  <a:prstGeom prst="rect">
                    <a:avLst/>
                  </a:prstGeom>
                </pic:spPr>
              </pic:pic>
            </a:graphicData>
          </a:graphic>
        </wp:inline>
      </w:drawing>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EAC08F" w14:textId="77777777" w:rsidR="00E842E7" w:rsidRDefault="00E842E7" w:rsidP="00E710EC">
      <w:pPr>
        <w:spacing w:after="0" w:line="240" w:lineRule="auto"/>
      </w:pPr>
      <w:r>
        <w:separator/>
      </w:r>
    </w:p>
  </w:footnote>
  <w:footnote w:type="continuationSeparator" w:id="0">
    <w:p w14:paraId="7EB7F0DA" w14:textId="77777777" w:rsidR="00E842E7" w:rsidRDefault="00E842E7" w:rsidP="00E710EC">
      <w:pPr>
        <w:spacing w:after="0" w:line="240" w:lineRule="auto"/>
      </w:pPr>
      <w:r>
        <w:continuationSeparator/>
      </w:r>
    </w:p>
  </w:footnote>
  <w:footnote w:id="1">
    <w:p w14:paraId="271F7A7C" w14:textId="77777777" w:rsidR="00DE3C06" w:rsidRPr="00895FCE" w:rsidRDefault="00DE3C06" w:rsidP="00DE3C06">
      <w:pPr>
        <w:pStyle w:val="Textonotapie"/>
        <w:ind w:right="48"/>
        <w:jc w:val="both"/>
        <w:rPr>
          <w:sz w:val="18"/>
          <w:szCs w:val="18"/>
          <w:lang w:val="es-MX"/>
        </w:rPr>
      </w:pPr>
      <w:r w:rsidRPr="00895FCE">
        <w:rPr>
          <w:rStyle w:val="Refdenotaalpie"/>
          <w:rFonts w:cs="Arial"/>
          <w:sz w:val="18"/>
          <w:szCs w:val="18"/>
        </w:rPr>
        <w:footnoteRef/>
      </w:r>
      <w:r w:rsidRPr="00895FCE">
        <w:rPr>
          <w:rFonts w:cs="Arial"/>
          <w:sz w:val="18"/>
          <w:szCs w:val="18"/>
        </w:rPr>
        <w:t xml:space="preserve"> </w:t>
      </w:r>
      <w:r w:rsidRPr="00895FCE">
        <w:rPr>
          <w:sz w:val="18"/>
          <w:szCs w:val="18"/>
          <w:lang w:val="es-MX"/>
        </w:rPr>
        <w:t>Decreto 2366 de 2015, Por el cual se crea la Agencia de Renovación del Territorio, ART, se determina su objeto y estructura. Modificado por decreto ley 2096 de 2016.</w:t>
      </w:r>
    </w:p>
  </w:footnote>
  <w:footnote w:id="2">
    <w:p w14:paraId="7DAABABD" w14:textId="77777777" w:rsidR="00DE3C06" w:rsidRPr="00895FCE" w:rsidRDefault="00DE3C06" w:rsidP="00DE3C06">
      <w:pPr>
        <w:pStyle w:val="Textonotapie"/>
        <w:ind w:right="48"/>
        <w:jc w:val="both"/>
        <w:rPr>
          <w:sz w:val="18"/>
          <w:szCs w:val="18"/>
          <w:lang w:val="es-MX"/>
        </w:rPr>
      </w:pPr>
      <w:r w:rsidRPr="00895FCE">
        <w:rPr>
          <w:sz w:val="18"/>
          <w:szCs w:val="18"/>
          <w:lang w:val="es-MX"/>
        </w:rPr>
        <w:footnoteRef/>
      </w:r>
      <w:r w:rsidRPr="00895FCE">
        <w:rPr>
          <w:sz w:val="18"/>
          <w:szCs w:val="18"/>
          <w:lang w:val="es-MX"/>
        </w:rPr>
        <w:t xml:space="preserve"> Ley 1955 de 2019 artículo 281 que modifica la adscripción de la ART y decreto 1874 del 4 de octubre de 2019, articulo 5, de las entidades que integran el Departamento Administrativo de la Presidencia (DAPRE) y otras entidades adscritas.</w:t>
      </w:r>
    </w:p>
  </w:footnote>
  <w:footnote w:id="3">
    <w:p w14:paraId="19CAE0BE" w14:textId="77777777" w:rsidR="00DE3C06" w:rsidRPr="0081379C" w:rsidRDefault="00DE3C06" w:rsidP="00DE3C06">
      <w:pPr>
        <w:pStyle w:val="Textonotapie"/>
        <w:jc w:val="both"/>
        <w:rPr>
          <w:rFonts w:ascii="Verdana" w:hAnsi="Verdana"/>
          <w:sz w:val="18"/>
          <w:szCs w:val="18"/>
          <w:lang w:val="es-MX"/>
        </w:rPr>
      </w:pPr>
      <w:r w:rsidRPr="00895FCE">
        <w:rPr>
          <w:rStyle w:val="Refdenotaalpie"/>
          <w:sz w:val="18"/>
          <w:szCs w:val="18"/>
        </w:rPr>
        <w:footnoteRef/>
      </w:r>
      <w:r w:rsidRPr="00895FCE">
        <w:rPr>
          <w:sz w:val="18"/>
          <w:szCs w:val="18"/>
        </w:rPr>
        <w:t xml:space="preserve"> </w:t>
      </w:r>
      <w:r w:rsidRPr="00895FCE">
        <w:rPr>
          <w:sz w:val="18"/>
          <w:szCs w:val="18"/>
          <w:lang w:val="es-MX"/>
        </w:rPr>
        <w:t xml:space="preserve">Se anexa Lista de los 170 Municipios PDET, acorde al decreto 893 de 2017. (Ver Carpeta Tablas y Anexos: </w:t>
      </w:r>
      <w:r w:rsidRPr="00895FCE">
        <w:rPr>
          <w:rFonts w:cs="Tahoma"/>
          <w:b/>
          <w:bCs/>
          <w:sz w:val="18"/>
          <w:szCs w:val="18"/>
        </w:rPr>
        <w:t xml:space="preserve">ANEXO </w:t>
      </w:r>
      <w:proofErr w:type="gramStart"/>
      <w:r w:rsidRPr="00895FCE">
        <w:rPr>
          <w:rFonts w:cs="Tahoma"/>
          <w:b/>
          <w:bCs/>
          <w:sz w:val="18"/>
          <w:szCs w:val="18"/>
        </w:rPr>
        <w:t>1</w:t>
      </w:r>
      <w:r w:rsidRPr="00895FCE">
        <w:rPr>
          <w:sz w:val="18"/>
          <w:szCs w:val="18"/>
          <w:lang w:val="es-MX"/>
        </w:rPr>
        <w:t>.Listado</w:t>
      </w:r>
      <w:proofErr w:type="gramEnd"/>
      <w:r w:rsidRPr="00895FCE">
        <w:rPr>
          <w:sz w:val="18"/>
          <w:szCs w:val="18"/>
          <w:lang w:val="es-MX"/>
        </w:rPr>
        <w:t xml:space="preserve"> de los 170 municipios PDET)</w:t>
      </w:r>
    </w:p>
  </w:footnote>
  <w:footnote w:id="4">
    <w:p w14:paraId="171CAB13" w14:textId="77777777" w:rsidR="00DE3C06" w:rsidRPr="00895FCE" w:rsidRDefault="00DE3C06" w:rsidP="00DE3C06">
      <w:pPr>
        <w:pStyle w:val="Textonotapie"/>
        <w:ind w:right="48"/>
        <w:jc w:val="both"/>
        <w:rPr>
          <w:sz w:val="18"/>
          <w:szCs w:val="18"/>
          <w:lang w:val="es-MX"/>
        </w:rPr>
      </w:pPr>
      <w:r w:rsidRPr="00895FCE">
        <w:rPr>
          <w:sz w:val="18"/>
          <w:szCs w:val="18"/>
          <w:lang w:val="es-MX"/>
        </w:rPr>
        <w:footnoteRef/>
      </w:r>
      <w:r w:rsidRPr="00895FCE">
        <w:rPr>
          <w:sz w:val="18"/>
          <w:szCs w:val="18"/>
          <w:lang w:val="es-MX"/>
        </w:rPr>
        <w:t xml:space="preserve"> Decreto de 896 de 2017, por medio del cual se crea El Programa Nacional Integral de Sustitución de Cultivos Ilícitos (PNIS) el cual se deriva del Acuerdo de Paz entre el Gobierno de Colombia y la guerrilla FARC-EP a fin de facilitar y asegurar la implementación y desarrollo normativo de los puntos 4, 4.1 y 6.1.10, literal a, del Acuerdo Final.</w:t>
      </w:r>
    </w:p>
  </w:footnote>
  <w:footnote w:id="5">
    <w:p w14:paraId="41DBA768" w14:textId="77777777" w:rsidR="00DE3C06" w:rsidRPr="00895FCE" w:rsidRDefault="00DE3C06" w:rsidP="00DE3C06">
      <w:pPr>
        <w:shd w:val="clear" w:color="auto" w:fill="FFFFFF"/>
        <w:spacing w:after="0" w:line="240" w:lineRule="auto"/>
        <w:ind w:right="48"/>
        <w:jc w:val="both"/>
        <w:rPr>
          <w:sz w:val="18"/>
          <w:szCs w:val="18"/>
          <w:lang w:val="es-MX"/>
        </w:rPr>
      </w:pPr>
    </w:p>
    <w:p w14:paraId="22B220C4" w14:textId="77777777" w:rsidR="00DE3C06" w:rsidRPr="00895FCE" w:rsidRDefault="00DE3C06" w:rsidP="00DE3C06">
      <w:pPr>
        <w:shd w:val="clear" w:color="auto" w:fill="FFFFFF"/>
        <w:spacing w:after="0" w:line="240" w:lineRule="auto"/>
        <w:ind w:right="48"/>
        <w:jc w:val="both"/>
        <w:rPr>
          <w:sz w:val="18"/>
          <w:szCs w:val="18"/>
          <w:lang w:val="es-MX"/>
        </w:rPr>
      </w:pPr>
      <w:r w:rsidRPr="00895FCE">
        <w:rPr>
          <w:sz w:val="18"/>
          <w:szCs w:val="18"/>
          <w:lang w:val="es-MX"/>
        </w:rPr>
        <w:footnoteRef/>
      </w:r>
      <w:proofErr w:type="gramStart"/>
      <w:r w:rsidRPr="00895FCE">
        <w:rPr>
          <w:sz w:val="18"/>
          <w:szCs w:val="18"/>
          <w:lang w:val="es-MX"/>
        </w:rPr>
        <w:t>.Decreto</w:t>
      </w:r>
      <w:proofErr w:type="gramEnd"/>
      <w:r w:rsidRPr="00895FCE">
        <w:rPr>
          <w:sz w:val="18"/>
          <w:szCs w:val="18"/>
          <w:lang w:val="es-MX"/>
        </w:rPr>
        <w:t xml:space="preserve"> </w:t>
      </w:r>
      <w:r>
        <w:rPr>
          <w:sz w:val="18"/>
          <w:szCs w:val="18"/>
          <w:lang w:val="es-MX"/>
        </w:rPr>
        <w:t xml:space="preserve">Ley </w:t>
      </w:r>
      <w:r w:rsidRPr="00895FCE">
        <w:rPr>
          <w:sz w:val="18"/>
          <w:szCs w:val="18"/>
          <w:lang w:val="es-MX"/>
        </w:rPr>
        <w:t>896 de 2017, Articulo 3, Instancias para la ejecución del PNIS: Las siguientes instancias serán las responsables de la ejecución del Programa</w:t>
      </w:r>
      <w:r>
        <w:rPr>
          <w:sz w:val="18"/>
          <w:szCs w:val="18"/>
          <w:lang w:val="es-MX"/>
        </w:rPr>
        <w:t>:</w:t>
      </w:r>
      <w:r w:rsidRPr="00895FCE">
        <w:rPr>
          <w:sz w:val="18"/>
          <w:szCs w:val="18"/>
          <w:lang w:val="es-MX"/>
        </w:rPr>
        <w:t xml:space="preserve"> 1. Junta de Direccionamiento Estratégico. 2. Dirección General, a cargo del Dirección para la Sustitución de Cultivos Ilícitos adscrita a la Alta Consejería Presidencial para el Postconflicto del Departamento Administrativo de la Presidencia de la República 3. Consejo Permanente de Dirección</w:t>
      </w:r>
      <w:r>
        <w:rPr>
          <w:sz w:val="18"/>
          <w:szCs w:val="18"/>
          <w:lang w:val="es-MX"/>
        </w:rPr>
        <w:t>.</w:t>
      </w:r>
    </w:p>
    <w:p w14:paraId="269FCCD5" w14:textId="77777777" w:rsidR="00DE3C06" w:rsidRDefault="00DE3C06" w:rsidP="00DE3C06">
      <w:pPr>
        <w:pStyle w:val="Textonotapie"/>
        <w:ind w:right="48"/>
      </w:pPr>
    </w:p>
  </w:footnote>
  <w:footnote w:id="6">
    <w:p w14:paraId="5B81C1BF" w14:textId="77777777" w:rsidR="00DE3C06" w:rsidRPr="00895FCE" w:rsidRDefault="00DE3C06" w:rsidP="00DE3C06">
      <w:pPr>
        <w:pStyle w:val="Textonotapie"/>
        <w:jc w:val="both"/>
        <w:rPr>
          <w:rFonts w:cs="Arial"/>
          <w:sz w:val="18"/>
          <w:szCs w:val="18"/>
          <w:lang w:val="es-MX"/>
        </w:rPr>
      </w:pPr>
      <w:r w:rsidRPr="00895FCE">
        <w:rPr>
          <w:rStyle w:val="Refdenotaalpie"/>
          <w:rFonts w:cs="Arial"/>
          <w:sz w:val="18"/>
          <w:szCs w:val="18"/>
        </w:rPr>
        <w:footnoteRef/>
      </w:r>
      <w:r w:rsidRPr="00895FCE">
        <w:rPr>
          <w:rFonts w:cs="Arial"/>
          <w:sz w:val="18"/>
          <w:szCs w:val="18"/>
        </w:rPr>
        <w:t xml:space="preserve"> La D</w:t>
      </w:r>
      <w:proofErr w:type="spellStart"/>
      <w:r w:rsidRPr="00895FCE">
        <w:rPr>
          <w:rFonts w:cs="Arial"/>
          <w:sz w:val="18"/>
          <w:szCs w:val="18"/>
          <w:lang w:val="es-MX"/>
        </w:rPr>
        <w:t>irección</w:t>
      </w:r>
      <w:proofErr w:type="spellEnd"/>
      <w:r w:rsidRPr="00895FCE">
        <w:rPr>
          <w:rFonts w:cs="Arial"/>
          <w:sz w:val="18"/>
          <w:szCs w:val="18"/>
          <w:lang w:val="es-MX"/>
        </w:rPr>
        <w:t xml:space="preserve"> General de la ART generó la circular interna </w:t>
      </w:r>
      <w:r w:rsidRPr="00895FCE">
        <w:rPr>
          <w:rFonts w:cs="Arial"/>
          <w:sz w:val="18"/>
          <w:szCs w:val="18"/>
        </w:rPr>
        <w:t>0016 del 21 de noviembre de 2025, por medio de la cual se indican los “</w:t>
      </w:r>
      <w:r w:rsidRPr="00895FCE">
        <w:rPr>
          <w:rFonts w:cs="Arial"/>
          <w:i/>
          <w:iCs/>
          <w:sz w:val="18"/>
          <w:szCs w:val="18"/>
        </w:rPr>
        <w:t>Aspectos prioritarios para el cierre de gestión. Instrucciones para entrega de INFORME DE EMPALME y recomendaciones para cierre de gestión</w:t>
      </w:r>
      <w:r w:rsidRPr="00895FCE">
        <w:rPr>
          <w:rFonts w:cs="Arial"/>
          <w:sz w:val="18"/>
          <w:szCs w:val="18"/>
        </w:rPr>
        <w:t>”, con el propósito de garantizar el cumplimiento en la entrega de informes por parte del nivel directivo y la dependencia DSCI, respecto de lo requerido por ley 951, Informes de empalme, rendición de cuentas y de entrega del cargo entre otros asociados al cumplimiento de cierre de Gestión y empalme de Gobierno. Esta Circular interna fue remitida adicionalmente con el fin de solicitar la entrega oportuna y con calidad de la información de la gestión realizada durante el periodo de gobierno. La DSCI fue notificada para su cumplimiento en su calidad de “J” toda vez que en el marco de su autonomía los informes de la dependencia, aplicativos y usuarios, así como estados financieros, son independientes a los de la ART-PDET.</w:t>
      </w:r>
    </w:p>
  </w:footnote>
  <w:footnote w:id="7">
    <w:p w14:paraId="1BF2A956" w14:textId="77777777" w:rsidR="00DE3C06" w:rsidRPr="000D755D" w:rsidRDefault="00DE3C06" w:rsidP="00DE3C06">
      <w:pPr>
        <w:pStyle w:val="Textonotapie"/>
        <w:rPr>
          <w:lang w:val="es-MX"/>
        </w:rPr>
      </w:pPr>
      <w:r w:rsidRPr="00BD747D">
        <w:rPr>
          <w:rFonts w:cs="Arial"/>
          <w:sz w:val="18"/>
          <w:szCs w:val="18"/>
          <w:lang w:val="es-MX"/>
        </w:rPr>
        <w:footnoteRef/>
      </w:r>
      <w:r w:rsidRPr="00BD747D">
        <w:rPr>
          <w:rFonts w:cs="Arial"/>
          <w:sz w:val="18"/>
          <w:szCs w:val="18"/>
          <w:lang w:val="es-MX"/>
        </w:rPr>
        <w:t xml:space="preserve"> La Resolución No. 000288 del 24 de marzo de 2026 creó y actualizó 15 GIT de las regionales en los territorios PDET que dependen de la Dirección general</w:t>
      </w:r>
      <w:r>
        <w:rPr>
          <w:rFonts w:cs="Arial"/>
          <w:sz w:val="18"/>
          <w:szCs w:val="18"/>
          <w:lang w:val="es-MX"/>
        </w:rPr>
        <w:t>. Queda pendiente la conformación del GIT de Urabá.</w:t>
      </w:r>
    </w:p>
  </w:footnote>
  <w:footnote w:id="8">
    <w:p w14:paraId="4756FFC4" w14:textId="77777777" w:rsidR="00DE3C06" w:rsidRPr="00BD747D" w:rsidRDefault="00DE3C06" w:rsidP="00DE3C06">
      <w:pPr>
        <w:pStyle w:val="Textonotapie"/>
        <w:jc w:val="both"/>
        <w:rPr>
          <w:rFonts w:cs="Arial"/>
          <w:sz w:val="18"/>
          <w:szCs w:val="18"/>
          <w:lang w:val="es-MX"/>
        </w:rPr>
      </w:pPr>
      <w:r w:rsidRPr="00BD747D">
        <w:rPr>
          <w:rStyle w:val="Refdenotaalpie"/>
        </w:rPr>
        <w:footnoteRef/>
      </w:r>
      <w:r w:rsidRPr="00BD747D">
        <w:t xml:space="preserve"> </w:t>
      </w:r>
      <w:r w:rsidRPr="00BD747D">
        <w:rPr>
          <w:rFonts w:cs="Arial"/>
          <w:sz w:val="18"/>
          <w:szCs w:val="18"/>
          <w:lang w:val="es-MX"/>
        </w:rPr>
        <w:t xml:space="preserve">DECRETO NACIONAL 1263 DE 2024, ARTÍCULO 1 CONFORMACIÓN ACTUAL DEL CONSEJO DIRECTIVO (Todos pueden delegar su participación) 1. El </w:t>
      </w:r>
      <w:proofErr w:type="gramStart"/>
      <w:r w:rsidRPr="00BD747D">
        <w:rPr>
          <w:rFonts w:cs="Arial"/>
          <w:sz w:val="18"/>
          <w:szCs w:val="18"/>
          <w:lang w:val="es-MX"/>
        </w:rPr>
        <w:t>Ministro</w:t>
      </w:r>
      <w:proofErr w:type="gramEnd"/>
      <w:r w:rsidRPr="00BD747D">
        <w:rPr>
          <w:rFonts w:cs="Arial"/>
          <w:sz w:val="18"/>
          <w:szCs w:val="18"/>
          <w:lang w:val="es-MX"/>
        </w:rPr>
        <w:t xml:space="preserve"> del Interior. 2. El </w:t>
      </w:r>
      <w:proofErr w:type="gramStart"/>
      <w:r w:rsidRPr="00BD747D">
        <w:rPr>
          <w:rFonts w:cs="Arial"/>
          <w:sz w:val="18"/>
          <w:szCs w:val="18"/>
          <w:lang w:val="es-MX"/>
        </w:rPr>
        <w:t>Ministro</w:t>
      </w:r>
      <w:proofErr w:type="gramEnd"/>
      <w:r w:rsidRPr="00BD747D">
        <w:rPr>
          <w:rFonts w:cs="Arial"/>
          <w:sz w:val="18"/>
          <w:szCs w:val="18"/>
          <w:lang w:val="es-MX"/>
        </w:rPr>
        <w:t xml:space="preserve"> de Defensa Nacional. 3. El </w:t>
      </w:r>
      <w:proofErr w:type="gramStart"/>
      <w:r w:rsidRPr="00BD747D">
        <w:rPr>
          <w:rFonts w:cs="Arial"/>
          <w:sz w:val="18"/>
          <w:szCs w:val="18"/>
          <w:lang w:val="es-MX"/>
        </w:rPr>
        <w:t>Ministro</w:t>
      </w:r>
      <w:proofErr w:type="gramEnd"/>
      <w:r w:rsidRPr="00BD747D">
        <w:rPr>
          <w:rFonts w:cs="Arial"/>
          <w:sz w:val="18"/>
          <w:szCs w:val="18"/>
          <w:lang w:val="es-MX"/>
        </w:rPr>
        <w:t xml:space="preserve"> de Agricultura y Desarrollo Rural. 4. El </w:t>
      </w:r>
      <w:proofErr w:type="gramStart"/>
      <w:r w:rsidRPr="00BD747D">
        <w:rPr>
          <w:rFonts w:cs="Arial"/>
          <w:sz w:val="18"/>
          <w:szCs w:val="18"/>
          <w:lang w:val="es-MX"/>
        </w:rPr>
        <w:t>Ministro</w:t>
      </w:r>
      <w:proofErr w:type="gramEnd"/>
      <w:r w:rsidRPr="00BD747D">
        <w:rPr>
          <w:rFonts w:cs="Arial"/>
          <w:sz w:val="18"/>
          <w:szCs w:val="18"/>
          <w:lang w:val="es-MX"/>
        </w:rPr>
        <w:t xml:space="preserve"> Ambiente y Desarrollo Sostenible. 5. El </w:t>
      </w:r>
      <w:proofErr w:type="gramStart"/>
      <w:r w:rsidRPr="00BD747D">
        <w:rPr>
          <w:rFonts w:cs="Arial"/>
          <w:sz w:val="18"/>
          <w:szCs w:val="18"/>
          <w:lang w:val="es-MX"/>
        </w:rPr>
        <w:t>Director</w:t>
      </w:r>
      <w:proofErr w:type="gramEnd"/>
      <w:r w:rsidRPr="00BD747D">
        <w:rPr>
          <w:rFonts w:cs="Arial"/>
          <w:sz w:val="18"/>
          <w:szCs w:val="18"/>
          <w:lang w:val="es-MX"/>
        </w:rPr>
        <w:t xml:space="preserve"> del Departamento Administrativo de la Presidencia de la República, quien presidirá. 6. El </w:t>
      </w:r>
      <w:proofErr w:type="gramStart"/>
      <w:r w:rsidRPr="00BD747D">
        <w:rPr>
          <w:rFonts w:cs="Arial"/>
          <w:sz w:val="18"/>
          <w:szCs w:val="18"/>
          <w:lang w:val="es-MX"/>
        </w:rPr>
        <w:t>Director</w:t>
      </w:r>
      <w:proofErr w:type="gramEnd"/>
      <w:r w:rsidRPr="00BD747D">
        <w:rPr>
          <w:rFonts w:cs="Arial"/>
          <w:sz w:val="18"/>
          <w:szCs w:val="18"/>
          <w:lang w:val="es-MX"/>
        </w:rPr>
        <w:t xml:space="preserve"> del Departamento Nacional de Planeación (DNP). 7. El </w:t>
      </w:r>
      <w:proofErr w:type="gramStart"/>
      <w:r w:rsidRPr="00BD747D">
        <w:rPr>
          <w:rFonts w:cs="Arial"/>
          <w:sz w:val="18"/>
          <w:szCs w:val="18"/>
          <w:lang w:val="es-MX"/>
        </w:rPr>
        <w:t>Director</w:t>
      </w:r>
      <w:proofErr w:type="gramEnd"/>
      <w:r w:rsidRPr="00BD747D">
        <w:rPr>
          <w:rFonts w:cs="Arial"/>
          <w:sz w:val="18"/>
          <w:szCs w:val="18"/>
          <w:lang w:val="es-MX"/>
        </w:rPr>
        <w:t xml:space="preserve"> del Departamento Administrativo para la Prosperidad Social (DPS). 8. El </w:t>
      </w:r>
      <w:proofErr w:type="gramStart"/>
      <w:r w:rsidRPr="00BD747D">
        <w:rPr>
          <w:rFonts w:cs="Arial"/>
          <w:sz w:val="18"/>
          <w:szCs w:val="18"/>
          <w:lang w:val="es-MX"/>
        </w:rPr>
        <w:t>Presidente</w:t>
      </w:r>
      <w:proofErr w:type="gramEnd"/>
      <w:r w:rsidRPr="00BD747D">
        <w:rPr>
          <w:rFonts w:cs="Arial"/>
          <w:sz w:val="18"/>
          <w:szCs w:val="18"/>
          <w:lang w:val="es-MX"/>
        </w:rPr>
        <w:t xml:space="preserve"> de la Agencia de Desarrollo Rural (ADR). 9. El </w:t>
      </w:r>
      <w:proofErr w:type="gramStart"/>
      <w:r w:rsidRPr="00BD747D">
        <w:rPr>
          <w:rFonts w:cs="Arial"/>
          <w:sz w:val="18"/>
          <w:szCs w:val="18"/>
          <w:lang w:val="es-MX"/>
        </w:rPr>
        <w:t>Director</w:t>
      </w:r>
      <w:proofErr w:type="gramEnd"/>
      <w:r w:rsidRPr="00BD747D">
        <w:rPr>
          <w:rFonts w:cs="Arial"/>
          <w:sz w:val="18"/>
          <w:szCs w:val="18"/>
          <w:lang w:val="es-MX"/>
        </w:rPr>
        <w:t xml:space="preserve"> de la Agencia Nacional de Tierras (ANT). 10. El </w:t>
      </w:r>
      <w:proofErr w:type="gramStart"/>
      <w:r w:rsidRPr="00BD747D">
        <w:rPr>
          <w:rFonts w:cs="Arial"/>
          <w:sz w:val="18"/>
          <w:szCs w:val="18"/>
          <w:lang w:val="es-MX"/>
        </w:rPr>
        <w:t>Consejero</w:t>
      </w:r>
      <w:proofErr w:type="gramEnd"/>
      <w:r w:rsidRPr="00BD747D">
        <w:rPr>
          <w:rFonts w:cs="Arial"/>
          <w:sz w:val="18"/>
          <w:szCs w:val="18"/>
          <w:lang w:val="es-MX"/>
        </w:rPr>
        <w:t xml:space="preserve"> Comisionado de Paz. 11. El </w:t>
      </w:r>
      <w:proofErr w:type="gramStart"/>
      <w:r w:rsidRPr="00BD747D">
        <w:rPr>
          <w:rFonts w:cs="Arial"/>
          <w:sz w:val="18"/>
          <w:szCs w:val="18"/>
          <w:lang w:val="es-MX"/>
        </w:rPr>
        <w:t>Director</w:t>
      </w:r>
      <w:proofErr w:type="gramEnd"/>
      <w:r w:rsidRPr="00BD747D">
        <w:rPr>
          <w:rFonts w:cs="Arial"/>
          <w:sz w:val="18"/>
          <w:szCs w:val="18"/>
          <w:lang w:val="es-MX"/>
        </w:rPr>
        <w:t xml:space="preserve"> de la Unidad de Implementación del Acuerdo Final para la Terminación del Conflicto y la Construcción de una Paz Estable y Duradera.</w:t>
      </w:r>
    </w:p>
  </w:footnote>
  <w:footnote w:id="9">
    <w:p w14:paraId="6F9ECC88" w14:textId="77777777" w:rsidR="00DE3C06" w:rsidRPr="00895FCE" w:rsidRDefault="00DE3C06" w:rsidP="00DE3C06">
      <w:pPr>
        <w:pStyle w:val="Textonotapie"/>
        <w:jc w:val="both"/>
        <w:rPr>
          <w:rFonts w:cs="Arial"/>
          <w:sz w:val="18"/>
          <w:szCs w:val="18"/>
          <w:lang w:val="es-MX"/>
        </w:rPr>
      </w:pPr>
      <w:r w:rsidRPr="00BD747D">
        <w:rPr>
          <w:rStyle w:val="Refdenotaalpie"/>
          <w:rFonts w:cs="Arial"/>
          <w:sz w:val="18"/>
          <w:szCs w:val="18"/>
        </w:rPr>
        <w:footnoteRef/>
      </w:r>
      <w:r w:rsidRPr="00BD747D">
        <w:rPr>
          <w:rFonts w:cs="Arial"/>
          <w:sz w:val="18"/>
          <w:szCs w:val="18"/>
        </w:rPr>
        <w:t xml:space="preserve"> </w:t>
      </w:r>
      <w:r w:rsidRPr="00BD747D">
        <w:rPr>
          <w:rFonts w:cs="Arial"/>
          <w:sz w:val="18"/>
          <w:szCs w:val="18"/>
          <w:lang w:val="es-MX"/>
        </w:rPr>
        <w:t>Decreto 1223 de 2020, Articulo 4 Funciones del Consejo Directivo,</w:t>
      </w:r>
      <w:r w:rsidRPr="00895FCE">
        <w:rPr>
          <w:rFonts w:cs="Arial"/>
          <w:sz w:val="18"/>
          <w:szCs w:val="18"/>
          <w:lang w:val="es-MX"/>
        </w:rPr>
        <w:t xml:space="preserve"> numeral 13. Aprobarlas modificaciones a la estructura de la planta de personal de la entidad para su adopción por el Gobierno Nacional.  </w:t>
      </w:r>
      <w:proofErr w:type="spellStart"/>
      <w:r w:rsidRPr="00895FCE">
        <w:rPr>
          <w:rFonts w:cs="Arial"/>
          <w:sz w:val="18"/>
          <w:szCs w:val="18"/>
          <w:lang w:val="es-MX"/>
        </w:rPr>
        <w:t>Articulo</w:t>
      </w:r>
      <w:proofErr w:type="spellEnd"/>
      <w:r w:rsidRPr="00895FCE">
        <w:rPr>
          <w:rFonts w:cs="Arial"/>
          <w:sz w:val="18"/>
          <w:szCs w:val="18"/>
          <w:lang w:val="es-MX"/>
        </w:rPr>
        <w:t xml:space="preserve"> 6. Funciones del </w:t>
      </w:r>
      <w:proofErr w:type="gramStart"/>
      <w:r w:rsidRPr="00895FCE">
        <w:rPr>
          <w:rFonts w:cs="Arial"/>
          <w:sz w:val="18"/>
          <w:szCs w:val="18"/>
          <w:lang w:val="es-MX"/>
        </w:rPr>
        <w:t>Director General</w:t>
      </w:r>
      <w:proofErr w:type="gramEnd"/>
      <w:r w:rsidRPr="00895FCE">
        <w:rPr>
          <w:rFonts w:cs="Arial"/>
          <w:sz w:val="18"/>
          <w:szCs w:val="18"/>
          <w:lang w:val="es-MX"/>
        </w:rPr>
        <w:t>. Numeral 20. Presentar al Gobierno Nacional (…) modificaciones aprobadas por el Consejo.</w:t>
      </w:r>
    </w:p>
  </w:footnote>
  <w:footnote w:id="10">
    <w:p w14:paraId="3A195E70" w14:textId="77777777" w:rsidR="00DE3C06" w:rsidRPr="0081379C" w:rsidRDefault="00DE3C06" w:rsidP="00DE3C06">
      <w:pPr>
        <w:pStyle w:val="Textonotapie"/>
        <w:jc w:val="both"/>
        <w:rPr>
          <w:rFonts w:ascii="Verdana" w:hAnsi="Verdana"/>
          <w:sz w:val="16"/>
          <w:szCs w:val="16"/>
          <w:lang w:val="es-MX"/>
        </w:rPr>
      </w:pPr>
      <w:r w:rsidRPr="00895FCE">
        <w:rPr>
          <w:rStyle w:val="Refdenotaalpie"/>
          <w:rFonts w:cs="Arial"/>
          <w:sz w:val="18"/>
          <w:szCs w:val="18"/>
        </w:rPr>
        <w:footnoteRef/>
      </w:r>
      <w:r w:rsidRPr="00895FCE">
        <w:rPr>
          <w:rFonts w:cs="Arial"/>
          <w:sz w:val="18"/>
          <w:szCs w:val="18"/>
        </w:rPr>
        <w:t xml:space="preserve"> </w:t>
      </w:r>
      <w:r w:rsidRPr="00895FCE">
        <w:rPr>
          <w:rFonts w:cs="Arial"/>
          <w:sz w:val="18"/>
          <w:szCs w:val="18"/>
          <w:lang w:val="es-MX"/>
        </w:rPr>
        <w:t xml:space="preserve">Decreto 1223 de 2020, Articulo 6 Funciones del </w:t>
      </w:r>
      <w:proofErr w:type="gramStart"/>
      <w:r w:rsidRPr="00895FCE">
        <w:rPr>
          <w:rFonts w:cs="Arial"/>
          <w:sz w:val="18"/>
          <w:szCs w:val="18"/>
          <w:lang w:val="es-MX"/>
        </w:rPr>
        <w:t>Director General</w:t>
      </w:r>
      <w:proofErr w:type="gramEnd"/>
      <w:r w:rsidRPr="00895FCE">
        <w:rPr>
          <w:rFonts w:cs="Arial"/>
          <w:sz w:val="18"/>
          <w:szCs w:val="18"/>
          <w:lang w:val="es-MX"/>
        </w:rPr>
        <w:t>. Numeral 21. Crear y organizar con carácter permanente o transitorio, comités y grupos internos de trabajo.</w:t>
      </w:r>
    </w:p>
  </w:footnote>
  <w:footnote w:id="11">
    <w:p w14:paraId="7A48D137" w14:textId="77777777" w:rsidR="00DE3C06" w:rsidRPr="00895FCE" w:rsidRDefault="00DE3C06" w:rsidP="00DE3C06">
      <w:pPr>
        <w:pStyle w:val="Textonotapie"/>
        <w:jc w:val="both"/>
        <w:rPr>
          <w:sz w:val="18"/>
          <w:szCs w:val="18"/>
          <w:lang w:val="es-MX"/>
        </w:rPr>
      </w:pPr>
      <w:r w:rsidRPr="00895FCE">
        <w:rPr>
          <w:rStyle w:val="Refdenotaalpie"/>
          <w:sz w:val="18"/>
          <w:szCs w:val="18"/>
        </w:rPr>
        <w:footnoteRef/>
      </w:r>
      <w:r w:rsidRPr="00895FCE">
        <w:rPr>
          <w:sz w:val="18"/>
          <w:szCs w:val="18"/>
        </w:rPr>
        <w:t xml:space="preserve"> </w:t>
      </w:r>
      <w:r w:rsidRPr="00895FCE">
        <w:rPr>
          <w:sz w:val="18"/>
          <w:szCs w:val="18"/>
          <w:lang w:val="es-MX"/>
        </w:rPr>
        <w:t>El Sistema de Gestión de la ART denominado “SIGART”, cuenta con un repositorio interno para control de la documentación. Para acceder a esta carpeta se requiere contar con un usuario institucional y conexiona la red interna de la entidad,</w:t>
      </w:r>
    </w:p>
  </w:footnote>
  <w:footnote w:id="12">
    <w:p w14:paraId="568F25B6" w14:textId="77777777" w:rsidR="00DE3C06" w:rsidRPr="00895FCE" w:rsidRDefault="00DE3C06" w:rsidP="00DE3C06">
      <w:pPr>
        <w:spacing w:after="0" w:line="240" w:lineRule="auto"/>
        <w:jc w:val="both"/>
        <w:rPr>
          <w:rFonts w:cs="Tahoma"/>
          <w:sz w:val="18"/>
          <w:szCs w:val="18"/>
        </w:rPr>
      </w:pPr>
      <w:r w:rsidRPr="00895FCE">
        <w:rPr>
          <w:rStyle w:val="Refdenotaalpie"/>
          <w:sz w:val="18"/>
          <w:szCs w:val="18"/>
        </w:rPr>
        <w:footnoteRef/>
      </w:r>
      <w:r w:rsidRPr="00895FCE">
        <w:rPr>
          <w:sz w:val="18"/>
          <w:szCs w:val="18"/>
        </w:rPr>
        <w:t xml:space="preserve"> </w:t>
      </w:r>
      <w:r w:rsidRPr="00895FCE">
        <w:rPr>
          <w:rFonts w:cs="Tahoma"/>
          <w:sz w:val="18"/>
          <w:szCs w:val="18"/>
        </w:rPr>
        <w:t xml:space="preserve">Respecto a la relación de reglamentos y manuales se encuentra disponible la información para consulta en políticas y manuales, </w:t>
      </w:r>
      <w:r>
        <w:rPr>
          <w:rFonts w:cs="Tahoma"/>
          <w:sz w:val="18"/>
          <w:szCs w:val="18"/>
        </w:rPr>
        <w:t>en el enlace de</w:t>
      </w:r>
      <w:r w:rsidRPr="00895FCE">
        <w:rPr>
          <w:rFonts w:cs="Tahoma"/>
          <w:sz w:val="18"/>
          <w:szCs w:val="18"/>
        </w:rPr>
        <w:t xml:space="preserve"> transparencia de la entidad: </w:t>
      </w:r>
      <w:hyperlink r:id="rId1" w:history="1">
        <w:r w:rsidRPr="00532864">
          <w:rPr>
            <w:rStyle w:val="Hipervnculo"/>
            <w:rFonts w:cs="Tahoma"/>
            <w:sz w:val="18"/>
            <w:szCs w:val="18"/>
          </w:rPr>
          <w:t>https://www.renovacionterritorio.gov.co/transparencia-acceso-informacion-publica</w:t>
        </w:r>
      </w:hyperlink>
      <w:r>
        <w:rPr>
          <w:rFonts w:cs="Tahoma"/>
          <w:sz w:val="18"/>
          <w:szCs w:val="18"/>
        </w:rPr>
        <w:t xml:space="preserve"> </w:t>
      </w:r>
    </w:p>
  </w:footnote>
  <w:footnote w:id="13">
    <w:p w14:paraId="4CA6A556" w14:textId="77777777" w:rsidR="00DE3C06" w:rsidRPr="00B441DF" w:rsidRDefault="00DE3C06" w:rsidP="00DE3C06">
      <w:pPr>
        <w:pStyle w:val="Textonotapie"/>
        <w:rPr>
          <w:sz w:val="22"/>
          <w:szCs w:val="22"/>
          <w:lang w:val="es-MX"/>
        </w:rPr>
      </w:pPr>
      <w:r>
        <w:rPr>
          <w:rStyle w:val="Refdenotaalpie"/>
        </w:rPr>
        <w:footnoteRef/>
      </w:r>
      <w:r>
        <w:t xml:space="preserve"> </w:t>
      </w:r>
      <w:r w:rsidRPr="00B441DF">
        <w:rPr>
          <w:rFonts w:cs="Tahoma"/>
          <w:sz w:val="18"/>
          <w:szCs w:val="18"/>
        </w:rPr>
        <w:t>En adelante todos los valores, cuando se trate de comparar cifras con periodos anteriores, se darán a precios constantes de 2016</w:t>
      </w:r>
    </w:p>
  </w:footnote>
  <w:footnote w:id="14">
    <w:p w14:paraId="3021B580" w14:textId="77777777" w:rsidR="00DE3C06" w:rsidRPr="000C3749" w:rsidRDefault="00DE3C06" w:rsidP="00DE3C06">
      <w:pPr>
        <w:pStyle w:val="Textonotapie"/>
        <w:jc w:val="both"/>
        <w:rPr>
          <w:lang w:val="es-MX"/>
        </w:rPr>
      </w:pPr>
      <w:r>
        <w:rPr>
          <w:rStyle w:val="Refdenotaalpie"/>
        </w:rPr>
        <w:footnoteRef/>
      </w:r>
      <w:r>
        <w:t xml:space="preserve"> </w:t>
      </w:r>
      <w:r w:rsidRPr="000C3749">
        <w:t xml:space="preserve">El valor utilizado para el SGR se definió a partir de los recursos registrados en las respectivas Leyes de Presupuesto Bienal del Sistema General de Regalías (SGR), publicadas por el Ministerio de Hacienda y Crédito Público. Para la estimación de la participación de los municipios PDET se consideraron las fuentes de recursos con incidencia directa en estos territorios, correspondientes a: i) las Asignaciones Directas a los municipios PDET; </w:t>
      </w:r>
      <w:proofErr w:type="spellStart"/>
      <w:r w:rsidRPr="000C3749">
        <w:t>ii</w:t>
      </w:r>
      <w:proofErr w:type="spellEnd"/>
      <w:r w:rsidRPr="000C3749">
        <w:t xml:space="preserve">) la Asignación para la Paz; </w:t>
      </w:r>
      <w:proofErr w:type="spellStart"/>
      <w:r w:rsidRPr="000C3749">
        <w:t>iii</w:t>
      </w:r>
      <w:proofErr w:type="spellEnd"/>
      <w:r w:rsidRPr="000C3749">
        <w:t xml:space="preserve">) el Adelanto de la Asignación para la Paz; </w:t>
      </w:r>
      <w:proofErr w:type="spellStart"/>
      <w:r w:rsidRPr="000C3749">
        <w:t>iv</w:t>
      </w:r>
      <w:proofErr w:type="spellEnd"/>
      <w:r w:rsidRPr="000C3749">
        <w:t>) los rendimientos financieros; v) la disponibilidad inicial; y vi) los recursos provenientes de mayor recaudo.</w:t>
      </w:r>
    </w:p>
  </w:footnote>
  <w:footnote w:id="15">
    <w:p w14:paraId="183CC080" w14:textId="77777777" w:rsidR="00DE3C06" w:rsidRPr="005C7367" w:rsidRDefault="00DE3C06" w:rsidP="00DE3C06">
      <w:pPr>
        <w:pStyle w:val="Textonotapie"/>
        <w:jc w:val="both"/>
        <w:rPr>
          <w:lang w:val="es-MX"/>
        </w:rPr>
      </w:pPr>
      <w:r w:rsidRPr="00D3309F">
        <w:rPr>
          <w:rStyle w:val="Refdenotaalpie"/>
        </w:rPr>
        <w:footnoteRef/>
      </w:r>
      <w:r w:rsidRPr="00D3309F">
        <w:t xml:space="preserve"> </w:t>
      </w:r>
      <w:r w:rsidRPr="00C32E28">
        <w:rPr>
          <w:sz w:val="16"/>
          <w:szCs w:val="16"/>
        </w:rPr>
        <w:t xml:space="preserve">Los $226.452 millones de recursos de inversión ingresados a la subcuenta PDET del Fondo Colombia en PAZ en este periodo de Gobierno, corresponden al valor comprometido de los recursos de inversión asignados en la vigencia 2023. No incluye el valor de la partida de $201.459 millones que no se constituyó como reserva por parte de DAPRE-Min Hacienda. En las vigencias 2024, 2025 y 2026 no se asignaron recursos de inversión a esta subcuenta. Con recursos de funcionamiento de la vigencia 2025 se financiaron proyectos para cumplir sentencias y órdenes judiciales por valor de $68.396 millones, todos los valores a precios constantes de </w:t>
      </w:r>
      <w:proofErr w:type="gramStart"/>
      <w:r w:rsidRPr="00C32E28">
        <w:rPr>
          <w:sz w:val="16"/>
          <w:szCs w:val="16"/>
        </w:rPr>
        <w:t>2016.</w:t>
      </w:r>
      <w:r>
        <w:rPr>
          <w:sz w:val="16"/>
          <w:szCs w:val="16"/>
        </w:rPr>
        <w:t>.</w:t>
      </w:r>
      <w:proofErr w:type="gramEnd"/>
    </w:p>
  </w:footnote>
  <w:footnote w:id="16">
    <w:p w14:paraId="6DB1AF89" w14:textId="77777777" w:rsidR="00DE3C06" w:rsidRPr="0050095F" w:rsidRDefault="00DE3C06" w:rsidP="00DE3C06">
      <w:pPr>
        <w:pStyle w:val="Textonotapie"/>
        <w:rPr>
          <w:lang w:val="es-MX"/>
        </w:rPr>
      </w:pPr>
      <w:r>
        <w:rPr>
          <w:rStyle w:val="Refdenotaalpie"/>
        </w:rPr>
        <w:footnoteRef/>
      </w:r>
      <w:r>
        <w:t xml:space="preserve"> </w:t>
      </w:r>
      <w:r w:rsidRPr="0050095F">
        <w:rPr>
          <w:sz w:val="16"/>
          <w:szCs w:val="16"/>
        </w:rPr>
        <w:t>Anexo 12.</w:t>
      </w:r>
      <w:r>
        <w:rPr>
          <w:sz w:val="16"/>
          <w:szCs w:val="16"/>
        </w:rPr>
        <w:t>B.</w:t>
      </w:r>
      <w:r w:rsidRPr="0050095F">
        <w:rPr>
          <w:sz w:val="16"/>
          <w:szCs w:val="16"/>
        </w:rPr>
        <w:t xml:space="preserve"> Anteproyecto de Presupuesto</w:t>
      </w:r>
      <w:r>
        <w:rPr>
          <w:sz w:val="16"/>
          <w:szCs w:val="16"/>
        </w:rPr>
        <w:t xml:space="preserve"> 2027</w:t>
      </w:r>
    </w:p>
  </w:footnote>
  <w:footnote w:id="17">
    <w:p w14:paraId="54A80E15" w14:textId="77777777" w:rsidR="00DE3C06" w:rsidRPr="007C4222" w:rsidRDefault="00DE3C06" w:rsidP="00DE3C06">
      <w:pPr>
        <w:pStyle w:val="Textonotapie"/>
        <w:jc w:val="both"/>
        <w:rPr>
          <w:lang w:val="es-MX"/>
        </w:rPr>
      </w:pPr>
      <w:r>
        <w:rPr>
          <w:rStyle w:val="Refdenotaalpie"/>
        </w:rPr>
        <w:footnoteRef/>
      </w:r>
      <w:r>
        <w:t xml:space="preserve"> </w:t>
      </w:r>
      <w:r>
        <w:rPr>
          <w:lang w:val="es-MX"/>
        </w:rPr>
        <w:t>P</w:t>
      </w:r>
      <w:r w:rsidRPr="00502DA7">
        <w:rPr>
          <w:sz w:val="16"/>
          <w:szCs w:val="16"/>
        </w:rPr>
        <w:t xml:space="preserve">ara consulta del avance de Iniciativas por Subregión, Pilar, sector, departamento y </w:t>
      </w:r>
      <w:proofErr w:type="gramStart"/>
      <w:r w:rsidRPr="00502DA7">
        <w:rPr>
          <w:sz w:val="16"/>
          <w:szCs w:val="16"/>
        </w:rPr>
        <w:t>municipio</w:t>
      </w:r>
      <w:proofErr w:type="gramEnd"/>
      <w:r w:rsidRPr="00502DA7">
        <w:rPr>
          <w:sz w:val="16"/>
          <w:szCs w:val="16"/>
        </w:rPr>
        <w:t xml:space="preserve"> </w:t>
      </w:r>
      <w:r w:rsidRPr="00D631CB">
        <w:rPr>
          <w:sz w:val="16"/>
          <w:szCs w:val="16"/>
        </w:rPr>
        <w:t>así</w:t>
      </w:r>
      <w:r w:rsidRPr="00502DA7">
        <w:rPr>
          <w:sz w:val="16"/>
          <w:szCs w:val="16"/>
        </w:rPr>
        <w:t xml:space="preserve"> como, el total de </w:t>
      </w:r>
      <w:r w:rsidRPr="00D631CB">
        <w:rPr>
          <w:sz w:val="16"/>
          <w:szCs w:val="16"/>
        </w:rPr>
        <w:t>iniciativas</w:t>
      </w:r>
      <w:r w:rsidRPr="00502DA7">
        <w:rPr>
          <w:sz w:val="16"/>
          <w:szCs w:val="16"/>
        </w:rPr>
        <w:t xml:space="preserve"> PATR, in</w:t>
      </w:r>
      <w:r>
        <w:rPr>
          <w:sz w:val="16"/>
          <w:szCs w:val="16"/>
        </w:rPr>
        <w:t>iciati</w:t>
      </w:r>
      <w:r w:rsidRPr="00502DA7">
        <w:rPr>
          <w:sz w:val="16"/>
          <w:szCs w:val="16"/>
        </w:rPr>
        <w:t xml:space="preserve">vas </w:t>
      </w:r>
      <w:r w:rsidRPr="007C4222">
        <w:rPr>
          <w:sz w:val="16"/>
          <w:szCs w:val="16"/>
        </w:rPr>
        <w:t xml:space="preserve">PATR con Ruta de Implementación Activa (RIA), Iniciativas PATR en Planes de Desarrollo territorial 2024-2027, </w:t>
      </w:r>
      <w:proofErr w:type="spellStart"/>
      <w:r w:rsidRPr="007C4222">
        <w:rPr>
          <w:sz w:val="16"/>
          <w:szCs w:val="16"/>
        </w:rPr>
        <w:t>y</w:t>
      </w:r>
      <w:proofErr w:type="spellEnd"/>
      <w:r w:rsidRPr="007C4222">
        <w:rPr>
          <w:sz w:val="16"/>
          <w:szCs w:val="16"/>
        </w:rPr>
        <w:t xml:space="preserve"> Iniciativas PATR priorizadas; se puede remitir al siguiente link: </w:t>
      </w:r>
      <w:hyperlink r:id="rId2" w:history="1">
        <w:r w:rsidRPr="007C4222">
          <w:rPr>
            <w:rStyle w:val="Hipervnculo"/>
            <w:sz w:val="16"/>
            <w:szCs w:val="16"/>
          </w:rPr>
          <w:t>https://centralpdet.renovacionterritorio.gov.co/avance-en-iniciativas/</w:t>
        </w:r>
      </w:hyperlink>
    </w:p>
  </w:footnote>
  <w:footnote w:id="18">
    <w:p w14:paraId="4E312A73" w14:textId="77777777" w:rsidR="00DE3C06" w:rsidRPr="007C4222" w:rsidRDefault="00DE3C06" w:rsidP="00DE3C06">
      <w:pPr>
        <w:pStyle w:val="Textonotapie"/>
        <w:jc w:val="both"/>
      </w:pPr>
      <w:r w:rsidRPr="007C4222">
        <w:rPr>
          <w:rStyle w:val="Refdenotaalpie"/>
        </w:rPr>
        <w:footnoteRef/>
      </w:r>
      <w:r w:rsidRPr="007C4222">
        <w:t xml:space="preserve"> </w:t>
      </w:r>
      <w:r w:rsidRPr="007C4222">
        <w:rPr>
          <w:sz w:val="16"/>
          <w:szCs w:val="16"/>
        </w:rPr>
        <w:t>Incluyen 111 iniciativas que, por el proceso de calidad y depuración de registros adelantado mensualmente, fueron inactivadas en fechas posteriores a agosto de 2022.</w:t>
      </w:r>
    </w:p>
  </w:footnote>
  <w:footnote w:id="19">
    <w:p w14:paraId="4F364A0E" w14:textId="77777777" w:rsidR="00DE3C06" w:rsidRPr="007C4222" w:rsidRDefault="00DE3C06" w:rsidP="00DE3C06">
      <w:pPr>
        <w:pStyle w:val="Textonotapie"/>
        <w:jc w:val="both"/>
      </w:pPr>
      <w:r w:rsidRPr="007C4222">
        <w:rPr>
          <w:rStyle w:val="Refdenotaalpie"/>
        </w:rPr>
        <w:footnoteRef/>
      </w:r>
      <w:r w:rsidRPr="007C4222">
        <w:t xml:space="preserve"> </w:t>
      </w:r>
      <w:r w:rsidRPr="007C4222">
        <w:rPr>
          <w:sz w:val="16"/>
          <w:szCs w:val="16"/>
          <w:lang w:val="es-MX"/>
        </w:rPr>
        <w:t>Último dato disponible, la actualización de cifras a cierre de junio de 2026 estará disponible a partir del en la semana del 9 de julio.</w:t>
      </w:r>
    </w:p>
  </w:footnote>
  <w:footnote w:id="20">
    <w:p w14:paraId="70C3D17A" w14:textId="77777777" w:rsidR="00DE3C06" w:rsidRPr="00895FCE" w:rsidRDefault="00DE3C06" w:rsidP="00DE3C06">
      <w:pPr>
        <w:pStyle w:val="Textonotapie"/>
        <w:jc w:val="both"/>
        <w:rPr>
          <w:sz w:val="16"/>
          <w:szCs w:val="16"/>
        </w:rPr>
      </w:pPr>
      <w:r w:rsidRPr="007C4222">
        <w:rPr>
          <w:rStyle w:val="Refdenotaalpie"/>
          <w:sz w:val="18"/>
          <w:szCs w:val="18"/>
        </w:rPr>
        <w:footnoteRef/>
      </w:r>
      <w:r w:rsidRPr="007C4222">
        <w:rPr>
          <w:sz w:val="18"/>
          <w:szCs w:val="18"/>
        </w:rPr>
        <w:t xml:space="preserve"> </w:t>
      </w:r>
      <w:r w:rsidRPr="007C4222">
        <w:rPr>
          <w:sz w:val="16"/>
          <w:szCs w:val="16"/>
        </w:rPr>
        <w:t>En el presente informe se incorpora la cifra y valor de proyectos financiados con el SGP y Recursos Propios de las entidades territoriales, después de que esta información surtió un proceso de revisión y depuración que buscó validar la consistencia entre diferentes fuentes de información que la consolidan (SUIFP</w:t>
      </w:r>
      <w:r w:rsidRPr="00895FCE">
        <w:rPr>
          <w:sz w:val="16"/>
          <w:szCs w:val="16"/>
        </w:rPr>
        <w:t xml:space="preserve"> - Territorio, KPT hasta 2022 y </w:t>
      </w:r>
      <w:proofErr w:type="spellStart"/>
      <w:r w:rsidRPr="00895FCE">
        <w:rPr>
          <w:sz w:val="16"/>
          <w:szCs w:val="16"/>
        </w:rPr>
        <w:t>SisPT</w:t>
      </w:r>
      <w:proofErr w:type="spellEnd"/>
      <w:r w:rsidRPr="00895FCE">
        <w:rPr>
          <w:sz w:val="16"/>
          <w:szCs w:val="16"/>
        </w:rPr>
        <w:t xml:space="preserve"> desde 2023). Adicionalmente, en la actualidad se adelanta la depuración final, ahora con información de ejecución presupuestal, no solo de planeación, y su revisión en mesas de trabajo con el DNP. Los resultados preliminares de esa depuración final evidencian coherencia con las cifras presentadas en este informe.</w:t>
      </w:r>
    </w:p>
    <w:p w14:paraId="23481FB8" w14:textId="77777777" w:rsidR="00DE3C06" w:rsidRDefault="00DE3C06" w:rsidP="00DE3C06">
      <w:pPr>
        <w:pStyle w:val="Textonotapie"/>
        <w:jc w:val="both"/>
        <w:rPr>
          <w:sz w:val="16"/>
          <w:szCs w:val="16"/>
        </w:rPr>
      </w:pPr>
    </w:p>
  </w:footnote>
  <w:footnote w:id="21">
    <w:p w14:paraId="20F5ACFD" w14:textId="77777777" w:rsidR="00DE3C06" w:rsidRPr="003439AB" w:rsidRDefault="00DE3C06" w:rsidP="00DE3C06">
      <w:pPr>
        <w:pStyle w:val="Textonotapie"/>
        <w:jc w:val="both"/>
      </w:pPr>
      <w:r w:rsidRPr="007C4222">
        <w:rPr>
          <w:rStyle w:val="Refdenotaalpie"/>
        </w:rPr>
        <w:footnoteRef/>
      </w:r>
      <w:r w:rsidRPr="007C4222">
        <w:t xml:space="preserve"> </w:t>
      </w:r>
      <w:r w:rsidRPr="007C4222">
        <w:rPr>
          <w:sz w:val="16"/>
          <w:szCs w:val="16"/>
          <w:lang w:val="es-MX"/>
        </w:rPr>
        <w:t>Último dato disponible, la actualización de cifras a cierre de junio de 2026 estará disponible a partir del en la semana del 21 de julio.</w:t>
      </w:r>
    </w:p>
  </w:footnote>
  <w:footnote w:id="22">
    <w:p w14:paraId="0BFA22E8" w14:textId="77777777" w:rsidR="00DE3C06" w:rsidRPr="00281E25" w:rsidRDefault="00DE3C06" w:rsidP="00DE3C06">
      <w:pPr>
        <w:pStyle w:val="Textonotapie"/>
        <w:jc w:val="both"/>
        <w:rPr>
          <w:lang w:val="es-MX"/>
        </w:rPr>
      </w:pPr>
      <w:r w:rsidRPr="00281E25">
        <w:rPr>
          <w:rStyle w:val="Refdenotaalpie"/>
          <w:sz w:val="16"/>
          <w:szCs w:val="16"/>
        </w:rPr>
        <w:footnoteRef/>
      </w:r>
      <w:r w:rsidRPr="00281E25">
        <w:rPr>
          <w:sz w:val="16"/>
          <w:szCs w:val="16"/>
        </w:rPr>
        <w:t xml:space="preserve"> </w:t>
      </w:r>
      <w:r w:rsidRPr="00281E25">
        <w:rPr>
          <w:sz w:val="16"/>
          <w:szCs w:val="16"/>
          <w:lang w:val="es-MX"/>
        </w:rPr>
        <w:t xml:space="preserve">Cabe resaltar que los recursos asociados al </w:t>
      </w:r>
      <w:r>
        <w:rPr>
          <w:sz w:val="16"/>
          <w:szCs w:val="16"/>
          <w:lang w:val="es-MX"/>
        </w:rPr>
        <w:t>“</w:t>
      </w:r>
      <w:r w:rsidRPr="00281E25">
        <w:rPr>
          <w:sz w:val="16"/>
          <w:szCs w:val="16"/>
          <w:lang w:val="es-MX"/>
        </w:rPr>
        <w:t xml:space="preserve">Trazador </w:t>
      </w:r>
      <w:r>
        <w:rPr>
          <w:sz w:val="16"/>
          <w:szCs w:val="16"/>
          <w:lang w:val="es-MX"/>
        </w:rPr>
        <w:t xml:space="preserve">Paz” </w:t>
      </w:r>
      <w:r w:rsidRPr="00281E25">
        <w:rPr>
          <w:sz w:val="16"/>
          <w:szCs w:val="16"/>
          <w:lang w:val="es-MX"/>
        </w:rPr>
        <w:t xml:space="preserve">corresponden a los compromisos que cada entidad territorial reporta como parte de la implementación de los Programas de Desarrollo con Enfoque Territorial (PDET) para cada vigencia. Por esta razón no </w:t>
      </w:r>
      <w:r>
        <w:rPr>
          <w:sz w:val="16"/>
          <w:szCs w:val="16"/>
          <w:lang w:val="es-MX"/>
        </w:rPr>
        <w:t>s</w:t>
      </w:r>
      <w:r w:rsidRPr="00281E25">
        <w:rPr>
          <w:sz w:val="16"/>
          <w:szCs w:val="16"/>
          <w:lang w:val="es-MX"/>
        </w:rPr>
        <w:t>e incluye nada en los proyectos aprobados antes del 07 de agosto que aún continúan en ejecución o terminados en este gobierno, dado, que no sigue la misma lógica de proyectos que las demás fuentes</w:t>
      </w:r>
    </w:p>
  </w:footnote>
  <w:footnote w:id="23">
    <w:p w14:paraId="1619CC37" w14:textId="77777777" w:rsidR="00DE3C06" w:rsidRPr="006D2707" w:rsidRDefault="00DE3C06" w:rsidP="00DE3C06">
      <w:pPr>
        <w:pStyle w:val="Textonotapie"/>
      </w:pPr>
      <w:r w:rsidRPr="007C4222">
        <w:rPr>
          <w:rStyle w:val="Refdenotaalpie"/>
        </w:rPr>
        <w:footnoteRef/>
      </w:r>
      <w:r w:rsidRPr="007C4222">
        <w:t xml:space="preserve"> </w:t>
      </w:r>
      <w:r w:rsidRPr="007C4222">
        <w:rPr>
          <w:sz w:val="16"/>
          <w:szCs w:val="16"/>
          <w:lang w:val="es-MX"/>
        </w:rPr>
        <w:t>Último dato disponible, la actualización de cifras a cierre de junio de 2026 estará disponible a partir del en la semana del 21 de julio.</w:t>
      </w:r>
    </w:p>
  </w:footnote>
  <w:footnote w:id="24">
    <w:p w14:paraId="76BC1AB7" w14:textId="77777777" w:rsidR="00DE3C06" w:rsidRPr="003F65B1" w:rsidRDefault="00DE3C06" w:rsidP="00DE3C06">
      <w:pPr>
        <w:pStyle w:val="Textonotapie"/>
        <w:jc w:val="both"/>
      </w:pPr>
      <w:r w:rsidRPr="00C65145">
        <w:rPr>
          <w:rStyle w:val="Refdenotaalpie"/>
        </w:rPr>
        <w:footnoteRef/>
      </w:r>
      <w:r w:rsidRPr="00C65145">
        <w:t xml:space="preserve"> Incluye, además de los proyectos financiados totalmente con recursos PGN asignados a la ART, proyectos cofinanciados con recursos de cooperación internacional, con recursos de las comunidades y recursos del programa Colombia Sostenible.</w:t>
      </w:r>
    </w:p>
  </w:footnote>
  <w:footnote w:id="25">
    <w:p w14:paraId="2959DC49" w14:textId="77777777" w:rsidR="00DE3C06" w:rsidRPr="002E3EB0" w:rsidRDefault="00DE3C06" w:rsidP="00DE3C06">
      <w:pPr>
        <w:pStyle w:val="Textonotapie"/>
        <w:rPr>
          <w:sz w:val="18"/>
          <w:szCs w:val="18"/>
        </w:rPr>
      </w:pPr>
      <w:r w:rsidRPr="002E3EB0">
        <w:rPr>
          <w:rStyle w:val="Refdenotaalpie"/>
          <w:sz w:val="18"/>
          <w:szCs w:val="18"/>
        </w:rPr>
        <w:footnoteRef/>
      </w:r>
      <w:r w:rsidRPr="002E3EB0">
        <w:rPr>
          <w:sz w:val="18"/>
          <w:szCs w:val="18"/>
        </w:rPr>
        <w:t xml:space="preserve"> </w:t>
      </w:r>
      <w:r w:rsidRPr="002E3EB0">
        <w:rPr>
          <w:rFonts w:eastAsiaTheme="minorEastAsia" w:cs="Tahoma"/>
          <w:sz w:val="18"/>
          <w:szCs w:val="18"/>
        </w:rPr>
        <w:t>Valor estimado en pesos colombianos, ya que originalmente los recursos fueron pactados en euros o dólare</w:t>
      </w:r>
      <w:r w:rsidRPr="002E3EB0">
        <w:rPr>
          <w:rFonts w:eastAsia="Aptos" w:cs="Tahoma"/>
          <w:sz w:val="18"/>
          <w:szCs w:val="18"/>
        </w:rPr>
        <w:t>s</w:t>
      </w:r>
    </w:p>
  </w:footnote>
  <w:footnote w:id="26">
    <w:p w14:paraId="7764B575" w14:textId="77777777" w:rsidR="00DE3C06" w:rsidRPr="00211EFD" w:rsidRDefault="00DE3C06" w:rsidP="00DE3C06">
      <w:pPr>
        <w:pStyle w:val="Textonotapie"/>
        <w:jc w:val="both"/>
        <w:rPr>
          <w:lang w:val="es-CO"/>
        </w:rPr>
      </w:pPr>
      <w:r>
        <w:rPr>
          <w:rStyle w:val="Refdenotaalpie"/>
        </w:rPr>
        <w:footnoteRef/>
      </w:r>
      <w:r>
        <w:t xml:space="preserve"> En proceso de r</w:t>
      </w:r>
      <w:r w:rsidRPr="00E03196">
        <w:t>evisión y validación con el Formulario de la Categoría Única de Información del Presupuesto Ordinario (CUIPO) del Ministerio de Hacienda y Crédito Público de Colombia. Su actualización se realizará en el nuevo sistema de información, diseñado para la implementación de los PATR revisados y actualizados.</w:t>
      </w:r>
    </w:p>
  </w:footnote>
  <w:footnote w:id="27">
    <w:p w14:paraId="6D923AA5" w14:textId="77777777" w:rsidR="00DE3C06" w:rsidRPr="0075264F" w:rsidRDefault="00DE3C06" w:rsidP="00DE3C06">
      <w:pPr>
        <w:pStyle w:val="Textonotapie"/>
      </w:pPr>
      <w:r w:rsidRPr="002E3EB0">
        <w:rPr>
          <w:rStyle w:val="Refdenotaalpie"/>
          <w:sz w:val="18"/>
          <w:szCs w:val="18"/>
        </w:rPr>
        <w:footnoteRef/>
      </w:r>
      <w:r w:rsidRPr="002E3EB0">
        <w:rPr>
          <w:sz w:val="18"/>
          <w:szCs w:val="18"/>
        </w:rPr>
        <w:t xml:space="preserve"> </w:t>
      </w:r>
      <w:r w:rsidRPr="002E3EB0">
        <w:rPr>
          <w:rFonts w:cs="Tahoma"/>
          <w:sz w:val="18"/>
          <w:szCs w:val="18"/>
        </w:rPr>
        <w:t>Artículo 4º. del Decreto Ley 893 de 2017.</w:t>
      </w:r>
    </w:p>
  </w:footnote>
  <w:footnote w:id="28">
    <w:p w14:paraId="1DE0B093" w14:textId="77777777" w:rsidR="00DE3C06" w:rsidRPr="006D59F7" w:rsidRDefault="00DE3C06" w:rsidP="00DE3C06">
      <w:pPr>
        <w:pStyle w:val="Textonotapie"/>
        <w:jc w:val="both"/>
        <w:rPr>
          <w:lang w:val="es-MX"/>
        </w:rPr>
      </w:pPr>
      <w:r>
        <w:rPr>
          <w:rStyle w:val="Refdenotaalpie"/>
        </w:rPr>
        <w:footnoteRef/>
      </w:r>
      <w:r>
        <w:t xml:space="preserve"> </w:t>
      </w:r>
      <w:r w:rsidRPr="004C53BA">
        <w:rPr>
          <w:sz w:val="16"/>
          <w:szCs w:val="16"/>
        </w:rPr>
        <w:t>La información de avance que se menciona arriba, aún no se ha cargado en sinergia. Está en revisión por parte del DAPRE. Esa información deberá reflejarse en el sistema a más tardar el 10 de julio 2026, fecha en la que cierra el plazo para reportar el avance cuantitativo en el sistema.</w:t>
      </w:r>
    </w:p>
  </w:footnote>
  <w:footnote w:id="29">
    <w:p w14:paraId="4FE2A8C8" w14:textId="77777777" w:rsidR="00DE3C06" w:rsidRPr="00895FCE" w:rsidRDefault="00DE3C06" w:rsidP="00DE3C06">
      <w:pPr>
        <w:pStyle w:val="Textonotapie"/>
        <w:jc w:val="both"/>
        <w:rPr>
          <w:sz w:val="18"/>
          <w:szCs w:val="18"/>
        </w:rPr>
      </w:pPr>
      <w:r w:rsidRPr="00895FCE">
        <w:rPr>
          <w:rStyle w:val="Refdenotaalpie"/>
          <w:sz w:val="18"/>
          <w:szCs w:val="18"/>
        </w:rPr>
        <w:footnoteRef/>
      </w:r>
      <w:r w:rsidRPr="00895FCE">
        <w:rPr>
          <w:sz w:val="18"/>
          <w:szCs w:val="18"/>
        </w:rPr>
        <w:t xml:space="preserve"> </w:t>
      </w:r>
      <w:r w:rsidRPr="00895FCE">
        <w:rPr>
          <w:rFonts w:cs="Arial"/>
          <w:sz w:val="18"/>
          <w:szCs w:val="18"/>
        </w:rPr>
        <w:t>En PND 2022 – 2026 en su plan cuatrienal</w:t>
      </w:r>
      <w:r w:rsidRPr="00895FCE">
        <w:rPr>
          <w:sz w:val="18"/>
          <w:szCs w:val="18"/>
        </w:rPr>
        <w:t xml:space="preserve"> de implementación del Acuerdo de Paz con las FARC – EP plantea que la entidad responsable de la meta trazadora del PMI de lograr la reducción en un 50 % del índice de pobreza multidimensional en el ámbito rural, íntimamente relacionada con el cierre de la brecha del IPM PDET – Nacional, está a cargo del sector Prosperidad Social. Posteriormente el artículo 4 de la Ley 2281 de 2023 “Por medio de la cual se crea el Ministerio de Igualdad y Equidad y se dictan otras disposiciones” establece como una de las funciones de dicha cartera es: “Formular, adoptar y ejecutar planes, programas, estrategias y proyectos para definir, </w:t>
      </w:r>
      <w:r w:rsidRPr="00895FCE">
        <w:rPr>
          <w:b/>
          <w:bCs/>
          <w:sz w:val="18"/>
          <w:szCs w:val="18"/>
        </w:rPr>
        <w:t>gestionar y focalizar la oferta social de las entidades del Orden Nacional en el territorio</w:t>
      </w:r>
      <w:r w:rsidRPr="00895FCE">
        <w:rPr>
          <w:sz w:val="18"/>
          <w:szCs w:val="18"/>
        </w:rPr>
        <w:t xml:space="preserve">, con criterios de eficiencia y eficacia, </w:t>
      </w:r>
      <w:r w:rsidRPr="00895FCE">
        <w:rPr>
          <w:b/>
          <w:bCs/>
          <w:sz w:val="18"/>
          <w:szCs w:val="18"/>
        </w:rPr>
        <w:t>priorizando territorios y poblaciones históricamente excluidas</w:t>
      </w:r>
      <w:r w:rsidRPr="00895FCE">
        <w:rPr>
          <w:sz w:val="18"/>
          <w:szCs w:val="18"/>
        </w:rPr>
        <w:t xml:space="preserve">”, creándose en dicho Ministerio el </w:t>
      </w:r>
      <w:r w:rsidRPr="00895FCE">
        <w:rPr>
          <w:i/>
          <w:iCs/>
          <w:sz w:val="18"/>
          <w:szCs w:val="18"/>
        </w:rPr>
        <w:t>Viceministerio para las Poblaciones y Territorios Excluidos y la Superación de la Pobreza</w:t>
      </w:r>
      <w:r w:rsidRPr="00895FCE">
        <w:rPr>
          <w:sz w:val="18"/>
          <w:szCs w:val="18"/>
        </w:rPr>
        <w:t xml:space="preserve">, encargado de “diseñar, coordinar y ejecutar políticas públicas para la atención y mejora de las condiciones de vida de las poblaciones más vulnerables en Colombia. </w:t>
      </w:r>
      <w:r w:rsidRPr="00895FCE">
        <w:rPr>
          <w:b/>
          <w:bCs/>
          <w:sz w:val="18"/>
          <w:szCs w:val="18"/>
        </w:rPr>
        <w:t>Su labor se centra en cerrar las brechas de desigualdad</w:t>
      </w:r>
      <w:r w:rsidRPr="00895FCE">
        <w:rPr>
          <w:sz w:val="18"/>
          <w:szCs w:val="18"/>
        </w:rPr>
        <w:t xml:space="preserve">, garantizando el acceso a derechos fundamentales y promoviendo la inclusión social y económica de quienes han sido históricamente marginados… Además, </w:t>
      </w:r>
      <w:r w:rsidRPr="00895FCE">
        <w:rPr>
          <w:b/>
          <w:bCs/>
          <w:sz w:val="18"/>
          <w:szCs w:val="18"/>
        </w:rPr>
        <w:t>desarrolla iniciativas para la superación de la pobreza, abordando sus múltiples dimensiones y causas estructurales</w:t>
      </w:r>
      <w:r w:rsidRPr="00895FCE">
        <w:rPr>
          <w:sz w:val="18"/>
          <w:szCs w:val="18"/>
        </w:rPr>
        <w:t xml:space="preserve">” </w:t>
      </w:r>
      <w:proofErr w:type="spellStart"/>
      <w:r w:rsidRPr="00895FCE">
        <w:rPr>
          <w:sz w:val="18"/>
          <w:szCs w:val="18"/>
        </w:rPr>
        <w:t>MinIgualdad</w:t>
      </w:r>
      <w:proofErr w:type="spellEnd"/>
      <w:r w:rsidRPr="00895FCE">
        <w:rPr>
          <w:sz w:val="18"/>
          <w:szCs w:val="18"/>
        </w:rPr>
        <w:t>, 2023.</w:t>
      </w:r>
      <w:r>
        <w:rPr>
          <w:sz w:val="18"/>
          <w:szCs w:val="18"/>
        </w:rPr>
        <w:t xml:space="preserve"> </w:t>
      </w:r>
      <w:r w:rsidRPr="004C53BA">
        <w:rPr>
          <w:sz w:val="18"/>
          <w:szCs w:val="18"/>
        </w:rPr>
        <w:t>Sin embargo, es importante considerar que los asuntos relacionados con el Sector Administrativo de Igualdad y Equidad deberán revisarse conforme al marco jurídico, en consideración a la expedición del Decreto 626 de 2026 y al proceso de liquidación del Ministerio de Igualdad y Equidad.</w:t>
      </w:r>
    </w:p>
    <w:p w14:paraId="4571CF08" w14:textId="77777777" w:rsidR="00DE3C06" w:rsidRPr="00895FCE" w:rsidRDefault="00DE3C06" w:rsidP="00DE3C06">
      <w:pPr>
        <w:pStyle w:val="Textonotapie"/>
        <w:rPr>
          <w:lang w:val="es-MX"/>
        </w:rPr>
      </w:pPr>
    </w:p>
  </w:footnote>
  <w:footnote w:id="30">
    <w:p w14:paraId="3A203F99" w14:textId="77777777" w:rsidR="00DE3C06" w:rsidRPr="0081379C" w:rsidRDefault="00DE3C06" w:rsidP="00DE3C06">
      <w:pPr>
        <w:pStyle w:val="Textonotapie"/>
        <w:jc w:val="both"/>
        <w:rPr>
          <w:rFonts w:ascii="Verdana" w:hAnsi="Verdana" w:cs="Tahoma"/>
          <w:sz w:val="18"/>
          <w:szCs w:val="18"/>
        </w:rPr>
      </w:pPr>
      <w:r w:rsidRPr="00895FCE">
        <w:rPr>
          <w:rStyle w:val="Refdenotaalpie"/>
          <w:rFonts w:cs="Tahoma"/>
          <w:sz w:val="18"/>
          <w:szCs w:val="18"/>
        </w:rPr>
        <w:footnoteRef/>
      </w:r>
      <w:r w:rsidRPr="00895FCE">
        <w:rPr>
          <w:rFonts w:cs="Tahoma"/>
          <w:sz w:val="18"/>
          <w:szCs w:val="18"/>
        </w:rPr>
        <w:t xml:space="preserve"> Cabe mencionar que la línea base (12,7p.p.) mencionada en el PND 2022 – 2026 fue calculada incluyendo las cabeceras de los ocho municipios PDET para las cuales el Decreto Ley 893 de 2017 aclara que no son consideradas como PDET, posteriormente en diciembre de 2023 el DANE realizó los ajustes en el cálculo de pobreza multidimensional PDET quitando dichas cabeceras – Ver Nota Aclaratoria Factores de Expansión Ajustados al Agrupado Municipios con Programas de Desarrollo de Enfoque Territorial (PDET), DANE 2023 – , lo que permitió evidenciar que la situación de pobreza era realmente mayor (Brecha PDET – Nacional en 2021 de 15,4p.p. en lugar de 12,7p.p.).</w:t>
      </w:r>
    </w:p>
  </w:footnote>
  <w:footnote w:id="31">
    <w:p w14:paraId="02349452" w14:textId="77777777" w:rsidR="00DE3C06" w:rsidRDefault="00DE3C06" w:rsidP="00DE3C06">
      <w:pPr>
        <w:pStyle w:val="Textonotapie"/>
      </w:pPr>
      <w:r>
        <w:rPr>
          <w:rStyle w:val="Refdenotaalpie"/>
        </w:rPr>
        <w:footnoteRef/>
      </w:r>
      <w:r>
        <w:t xml:space="preserve"> </w:t>
      </w:r>
      <w:r w:rsidRPr="00B2545B">
        <w:rPr>
          <w:sz w:val="18"/>
          <w:szCs w:val="18"/>
        </w:rPr>
        <w:t xml:space="preserve">Para todo el cuatrienio, en el caso de la MPC fue de $80.741 millones de pesos, en el de la MRA de $18.027, y para el ENCP de $40.000 millones de pesos. </w:t>
      </w:r>
    </w:p>
  </w:footnote>
  <w:footnote w:id="32">
    <w:p w14:paraId="362AC90F" w14:textId="77777777" w:rsidR="00DE3C06" w:rsidRDefault="00DE3C06" w:rsidP="00DE3C06">
      <w:pPr>
        <w:pStyle w:val="Textonotapie"/>
        <w:jc w:val="both"/>
        <w:rPr>
          <w:sz w:val="18"/>
          <w:szCs w:val="18"/>
        </w:rPr>
      </w:pPr>
      <w:r>
        <w:rPr>
          <w:rStyle w:val="Refdenotaalpie"/>
        </w:rPr>
        <w:footnoteRef/>
      </w:r>
      <w:r>
        <w:t xml:space="preserve"> </w:t>
      </w:r>
      <w:r>
        <w:rPr>
          <w:sz w:val="18"/>
          <w:szCs w:val="18"/>
        </w:rPr>
        <w:t xml:space="preserve">Adicionalmente, con el ENCP, se acordó que se tendrán los siguientes hitos para medir el avance en el acuerdo: </w:t>
      </w:r>
    </w:p>
    <w:p w14:paraId="227011EE" w14:textId="77777777" w:rsidR="00DE3C06" w:rsidRPr="00052DF3" w:rsidRDefault="00DE3C06" w:rsidP="00DE3C06">
      <w:pPr>
        <w:pStyle w:val="Textonotapie"/>
        <w:jc w:val="both"/>
        <w:rPr>
          <w:sz w:val="18"/>
          <w:szCs w:val="18"/>
        </w:rPr>
      </w:pPr>
      <w:r w:rsidRPr="00052DF3">
        <w:rPr>
          <w:sz w:val="18"/>
          <w:szCs w:val="18"/>
        </w:rPr>
        <w:t xml:space="preserve">Hito 1: Identificación de iniciativas para comunidades Negras, Afrodescendientes, Raizales y Palenqueras </w:t>
      </w:r>
    </w:p>
    <w:p w14:paraId="406C9AE6" w14:textId="77777777" w:rsidR="00DE3C06" w:rsidRPr="00052DF3" w:rsidRDefault="00DE3C06" w:rsidP="00DE3C06">
      <w:pPr>
        <w:pStyle w:val="Textonotapie"/>
        <w:jc w:val="both"/>
        <w:rPr>
          <w:sz w:val="18"/>
          <w:szCs w:val="18"/>
        </w:rPr>
      </w:pPr>
      <w:r w:rsidRPr="00052DF3">
        <w:rPr>
          <w:sz w:val="18"/>
          <w:szCs w:val="18"/>
        </w:rPr>
        <w:t xml:space="preserve">Hito 2: Identificación de iniciativas clasificadas para comunidades Negras, Afrodescendientes, Raizales y Palenqueras con Ruta de Implementación Activa (RIA) </w:t>
      </w:r>
    </w:p>
    <w:p w14:paraId="217F2F51" w14:textId="77777777" w:rsidR="00DE3C06" w:rsidRPr="00052DF3" w:rsidRDefault="00DE3C06" w:rsidP="00DE3C06">
      <w:pPr>
        <w:pStyle w:val="Textonotapie"/>
        <w:jc w:val="both"/>
        <w:rPr>
          <w:sz w:val="18"/>
          <w:szCs w:val="18"/>
          <w:lang w:val="es-CO"/>
        </w:rPr>
      </w:pPr>
      <w:r w:rsidRPr="00052DF3">
        <w:rPr>
          <w:sz w:val="18"/>
          <w:szCs w:val="18"/>
        </w:rPr>
        <w:t>Hito 3: Establecer una ruta para movilizar las iniciativas clasificadas para comunidades Negras, Afrodescendientes, Raizales y Palenqueras sin Ruta de Implementación Activa (RIA).</w:t>
      </w:r>
    </w:p>
  </w:footnote>
  <w:footnote w:id="33">
    <w:p w14:paraId="2746EE06" w14:textId="77777777" w:rsidR="00DE3C06" w:rsidRPr="00052DF3" w:rsidRDefault="00DE3C06" w:rsidP="00DE3C06">
      <w:pPr>
        <w:pStyle w:val="Textonotapie"/>
        <w:jc w:val="both"/>
        <w:rPr>
          <w:sz w:val="18"/>
          <w:szCs w:val="18"/>
        </w:rPr>
      </w:pPr>
      <w:r w:rsidRPr="004C53BA">
        <w:rPr>
          <w:rStyle w:val="Refdenotaalpie"/>
          <w:sz w:val="18"/>
          <w:szCs w:val="18"/>
        </w:rPr>
        <w:footnoteRef/>
      </w:r>
      <w:r w:rsidRPr="004C53BA">
        <w:rPr>
          <w:sz w:val="18"/>
          <w:szCs w:val="18"/>
        </w:rPr>
        <w:t xml:space="preserve"> Esta información debe revisarse en la próxima apertura de SINERGIA, para hacer ajustes en el porcentaje de reporte, porque el cálculo corresponde a un avance del 85,7%, que resulta de contabilizar el cumplimiento del H1 y el H2 del indicador, y un avance en lo que establece el H3.</w:t>
      </w:r>
    </w:p>
  </w:footnote>
  <w:footnote w:id="34">
    <w:p w14:paraId="67262D7A" w14:textId="77777777" w:rsidR="00DE3C06" w:rsidRPr="00A70627" w:rsidRDefault="00DE3C06" w:rsidP="00DE3C06">
      <w:pPr>
        <w:spacing w:after="0" w:line="276" w:lineRule="auto"/>
        <w:jc w:val="both"/>
        <w:rPr>
          <w:rFonts w:cs="Tahoma"/>
          <w:sz w:val="18"/>
          <w:szCs w:val="18"/>
        </w:rPr>
      </w:pPr>
      <w:r w:rsidRPr="00A70627">
        <w:rPr>
          <w:rStyle w:val="Refdenotaalpie"/>
          <w:sz w:val="18"/>
          <w:szCs w:val="18"/>
        </w:rPr>
        <w:footnoteRef/>
      </w:r>
      <w:r w:rsidRPr="00A70627">
        <w:rPr>
          <w:sz w:val="18"/>
          <w:szCs w:val="18"/>
        </w:rPr>
        <w:t xml:space="preserve"> La información ampliada se puede </w:t>
      </w:r>
      <w:r w:rsidRPr="000069CA">
        <w:rPr>
          <w:sz w:val="18"/>
          <w:szCs w:val="18"/>
        </w:rPr>
        <w:t xml:space="preserve">consultar en el </w:t>
      </w:r>
      <w:r w:rsidRPr="000069CA">
        <w:rPr>
          <w:rFonts w:cs="Tahoma"/>
          <w:sz w:val="18"/>
          <w:szCs w:val="18"/>
          <w:u w:val="single"/>
        </w:rPr>
        <w:t>ANEXO 9,</w:t>
      </w:r>
      <w:r w:rsidRPr="000069CA">
        <w:rPr>
          <w:rFonts w:cs="Tahoma"/>
          <w:sz w:val="18"/>
          <w:szCs w:val="18"/>
        </w:rPr>
        <w:t xml:space="preserve"> </w:t>
      </w:r>
      <w:r>
        <w:rPr>
          <w:rFonts w:cs="Tahoma"/>
          <w:sz w:val="18"/>
          <w:szCs w:val="18"/>
        </w:rPr>
        <w:t xml:space="preserve">en dos archivos de formato </w:t>
      </w:r>
      <w:proofErr w:type="spellStart"/>
      <w:r>
        <w:rPr>
          <w:rFonts w:cs="Tahoma"/>
          <w:sz w:val="18"/>
          <w:szCs w:val="18"/>
        </w:rPr>
        <w:t>excel</w:t>
      </w:r>
      <w:proofErr w:type="spellEnd"/>
      <w:r>
        <w:rPr>
          <w:rFonts w:cs="Tahoma"/>
          <w:sz w:val="18"/>
          <w:szCs w:val="18"/>
        </w:rPr>
        <w:t xml:space="preserve"> </w:t>
      </w:r>
      <w:r w:rsidRPr="000069CA">
        <w:rPr>
          <w:rFonts w:cs="Tahoma"/>
          <w:sz w:val="18"/>
          <w:szCs w:val="18"/>
        </w:rPr>
        <w:t>9a. y 9b.</w:t>
      </w:r>
      <w:r w:rsidRPr="00A70627">
        <w:rPr>
          <w:rFonts w:cs="Tahoma"/>
          <w:sz w:val="18"/>
          <w:szCs w:val="18"/>
        </w:rPr>
        <w:t xml:space="preserve"> </w:t>
      </w:r>
    </w:p>
    <w:p w14:paraId="3EAB7E3B" w14:textId="77777777" w:rsidR="00DE3C06" w:rsidRPr="00A70627" w:rsidRDefault="00DE3C06" w:rsidP="00DE3C06">
      <w:pPr>
        <w:pStyle w:val="Textonotapie"/>
        <w:rPr>
          <w:sz w:val="18"/>
          <w:szCs w:val="18"/>
          <w:lang w:val="es-MX"/>
        </w:rPr>
      </w:pPr>
    </w:p>
  </w:footnote>
  <w:footnote w:id="35">
    <w:p w14:paraId="54168043" w14:textId="77777777" w:rsidR="00DE3C06" w:rsidRPr="00D23283" w:rsidRDefault="00DE3C06" w:rsidP="00DE3C06">
      <w:pPr>
        <w:pStyle w:val="Textonotapie"/>
        <w:jc w:val="both"/>
      </w:pPr>
      <w:r w:rsidRPr="00FB6E7B">
        <w:rPr>
          <w:rStyle w:val="Refdenotaalpie"/>
        </w:rPr>
        <w:footnoteRef/>
      </w:r>
      <w:r w:rsidRPr="00FB6E7B">
        <w:t xml:space="preserve"> </w:t>
      </w:r>
      <w:r w:rsidRPr="00FB6E7B">
        <w:rPr>
          <w:sz w:val="16"/>
          <w:szCs w:val="16"/>
        </w:rPr>
        <w:t>La información dispuesta en el anexo se presenta en función al corte al 31/12 de 2025, en concordancia con los cortes de avance cuantitativo que plantea la plataforma SINERGIA – DNP. Lo anterior no obsta para mostrar el seguimiento al corte del primer trimestre reportado cualitativamente por la ART.</w:t>
      </w:r>
      <w:r w:rsidRPr="00D23283">
        <w:t xml:space="preserve"> </w:t>
      </w:r>
    </w:p>
  </w:footnote>
  <w:footnote w:id="36">
    <w:p w14:paraId="7E437A94" w14:textId="77777777" w:rsidR="00DE3C06" w:rsidRPr="00895FCE" w:rsidRDefault="00DE3C06" w:rsidP="00DE3C06">
      <w:pPr>
        <w:pStyle w:val="Textonotapie"/>
        <w:jc w:val="both"/>
        <w:rPr>
          <w:lang w:val="es-MX"/>
        </w:rPr>
      </w:pPr>
      <w:r w:rsidRPr="00D23283">
        <w:rPr>
          <w:rStyle w:val="Refdenotaalpie"/>
          <w:sz w:val="18"/>
          <w:szCs w:val="18"/>
        </w:rPr>
        <w:footnoteRef/>
      </w:r>
      <w:r w:rsidRPr="00D23283">
        <w:rPr>
          <w:sz w:val="18"/>
          <w:szCs w:val="18"/>
        </w:rPr>
        <w:t xml:space="preserve"> Al cierre de la vigencia, y como resultado del proceso de revisión y actualización de los PATR, la ART reportó un cumplimiento del 100% de este indicador. Sin embargo, DNP rechazó ese reporte. Actualmente, se revisa con el DNP, las alternativas de reporte del indicador, toda vez que para la ART ya se habría cumplido</w:t>
      </w:r>
    </w:p>
  </w:footnote>
  <w:footnote w:id="37">
    <w:p w14:paraId="7DC283B6" w14:textId="77777777" w:rsidR="00DE3C06" w:rsidRPr="00895FCE" w:rsidRDefault="00DE3C06" w:rsidP="00DE3C06">
      <w:pPr>
        <w:pStyle w:val="Textonotapie"/>
        <w:jc w:val="both"/>
        <w:rPr>
          <w:sz w:val="18"/>
          <w:szCs w:val="18"/>
          <w:lang w:val="es-CO"/>
        </w:rPr>
      </w:pPr>
      <w:r w:rsidRPr="00895FCE">
        <w:rPr>
          <w:rStyle w:val="Refdenotaalpie"/>
          <w:sz w:val="18"/>
          <w:szCs w:val="18"/>
        </w:rPr>
        <w:footnoteRef/>
      </w:r>
      <w:r w:rsidRPr="00895FCE">
        <w:rPr>
          <w:sz w:val="18"/>
          <w:szCs w:val="18"/>
        </w:rPr>
        <w:t xml:space="preserve"> </w:t>
      </w:r>
      <w:r w:rsidRPr="00895FCE">
        <w:rPr>
          <w:sz w:val="18"/>
          <w:szCs w:val="18"/>
          <w:lang w:val="es-CO"/>
        </w:rPr>
        <w:t>Con el objetivo de contextualizar este proceso de revisión y actualización al interior de la entidad se elaboraron documentos de Trabajo tales como: Guiones Metodológicos de los momentos, documentos Capítulo de programas y proyectos y Presentación ruta de implementación PATR.</w:t>
      </w:r>
    </w:p>
    <w:p w14:paraId="2A43D860" w14:textId="77777777" w:rsidR="00DE3C06" w:rsidRPr="0081379C" w:rsidRDefault="00DE3C06" w:rsidP="00DE3C06">
      <w:pPr>
        <w:pStyle w:val="Textonotapie"/>
        <w:rPr>
          <w:rFonts w:ascii="Verdana" w:hAnsi="Verdana"/>
          <w:sz w:val="18"/>
          <w:szCs w:val="18"/>
          <w:lang w:val="es-CO"/>
        </w:rPr>
      </w:pPr>
    </w:p>
    <w:p w14:paraId="07D0AD13" w14:textId="77777777" w:rsidR="00DE3C06" w:rsidRDefault="00DE3C06" w:rsidP="00DE3C06">
      <w:pPr>
        <w:pStyle w:val="Textonotapie"/>
        <w:rPr>
          <w:lang w:val="es-CO"/>
        </w:rPr>
      </w:pPr>
    </w:p>
    <w:p w14:paraId="6B8C6F57" w14:textId="77777777" w:rsidR="00DE3C06" w:rsidRDefault="00DE3C06" w:rsidP="00DE3C06">
      <w:pPr>
        <w:pStyle w:val="Textonotapie"/>
        <w:rPr>
          <w:lang w:val="es-CO"/>
        </w:rPr>
      </w:pPr>
    </w:p>
    <w:p w14:paraId="05985AB7" w14:textId="77777777" w:rsidR="00DE3C06" w:rsidRDefault="00DE3C06" w:rsidP="00DE3C06">
      <w:pPr>
        <w:pStyle w:val="Textonotapie"/>
        <w:rPr>
          <w:lang w:val="es-CO"/>
        </w:rPr>
      </w:pPr>
    </w:p>
    <w:p w14:paraId="40DCC691" w14:textId="77777777" w:rsidR="00DE3C06" w:rsidRPr="006E0623" w:rsidRDefault="00DE3C06" w:rsidP="00DE3C06">
      <w:pPr>
        <w:pStyle w:val="Textonotapie"/>
        <w:rPr>
          <w:lang w:val="es-CO"/>
        </w:rPr>
      </w:pPr>
    </w:p>
  </w:footnote>
  <w:footnote w:id="38">
    <w:p w14:paraId="70BA8955" w14:textId="77777777" w:rsidR="00DE3C06" w:rsidRPr="00E27563" w:rsidRDefault="00DE3C06" w:rsidP="00DE3C06">
      <w:pPr>
        <w:pStyle w:val="Textonotapie"/>
        <w:jc w:val="both"/>
        <w:rPr>
          <w:sz w:val="16"/>
          <w:szCs w:val="16"/>
        </w:rPr>
      </w:pPr>
      <w:r w:rsidRPr="00800557">
        <w:rPr>
          <w:rStyle w:val="Refdenotaalpie"/>
          <w:sz w:val="16"/>
          <w:szCs w:val="16"/>
        </w:rPr>
        <w:footnoteRef/>
      </w:r>
      <w:r w:rsidRPr="00800557">
        <w:rPr>
          <w:sz w:val="16"/>
          <w:szCs w:val="16"/>
        </w:rPr>
        <w:t xml:space="preserve"> La Dirección de Sustitución de Cultivos de Uso Ilícito -DSCI hace parte integral de la estructura de la ART de conformidad con lo previsto en el artículo 2° del Decreto 1223 de 2020, cuyas funciones se encuentran identificadas en el artículo 23° de la norma en cita y tiene a cargo el Programa Nacional Integral de Sustitución de Cultivos de Uso Ilícito (en adelante PNIS o Programa) de conformidad con lo previsto en el artículo 1° del Decreto Ley 896 de 2017; dependencia con autonomía administrativa y financiera de la ART en los términos del literal j)  del artículo 54 de la Ley 489 de 1998, sin personería jurídica y, en consecuencia, la Oficina Jurídica de la ART es la competente de ejercer la representación judicial y extrajudicial en todos los asuntos que involucren a la Agencia en los términos de los numerales 2°  y 9°  del artículo 7° del citado Decreto 1223 de 2020. En concordancia con lo anterior, y de conformidad con el numeral 19 del artículo 6 del Decreto 1223 de 2020, y lo previsto en el numeral 3° del artículo 2° de la resolución 000526 de 2024, expedida por la ART, este acápite involucra aquellas actuaciones relacionadas con la DSCI.</w:t>
      </w:r>
    </w:p>
  </w:footnote>
  <w:footnote w:id="39">
    <w:p w14:paraId="3F3367DB" w14:textId="77777777" w:rsidR="00DE3C06" w:rsidRDefault="00DE3C06" w:rsidP="00DE3C06">
      <w:pPr>
        <w:pStyle w:val="Textonotapie"/>
        <w:rPr>
          <w:lang w:val="es-CO"/>
        </w:rPr>
      </w:pPr>
      <w:r>
        <w:rPr>
          <w:rStyle w:val="Refdenotaalpie"/>
        </w:rPr>
        <w:footnoteRef/>
      </w:r>
      <w:r>
        <w:t xml:space="preserve"> </w:t>
      </w:r>
      <w:r>
        <w:rPr>
          <w:lang w:val="es-CO"/>
        </w:rPr>
        <w:t>Se reporta desde el inicio de gobierno 25 de octubre de 2022.</w:t>
      </w:r>
    </w:p>
  </w:footnote>
  <w:footnote w:id="40">
    <w:p w14:paraId="32241EA4" w14:textId="77777777" w:rsidR="00DE3C06" w:rsidRPr="004F08C6" w:rsidRDefault="00DE3C06" w:rsidP="00DE3C06">
      <w:pPr>
        <w:pStyle w:val="Textonotapie"/>
      </w:pPr>
      <w:r>
        <w:rPr>
          <w:rStyle w:val="Refdenotaalpie"/>
        </w:rPr>
        <w:footnoteRef/>
      </w:r>
      <w:r>
        <w:t xml:space="preserve"> </w:t>
      </w:r>
      <w:r w:rsidRPr="004F08C6">
        <w:t>La misión de la JEP es administrar justicia para consolidar la transición hacia la paz y restaurar el tejido social, garantizando los derechos de las víctimas y la seguridad jurídica de los comparecientes, con enfoque territorial, diferencial y de género.</w:t>
      </w:r>
    </w:p>
  </w:footnote>
  <w:footnote w:id="41">
    <w:p w14:paraId="2EB84A81" w14:textId="77777777" w:rsidR="00DE3C06" w:rsidRPr="0081379C" w:rsidRDefault="00DE3C06" w:rsidP="00DE3C06">
      <w:pPr>
        <w:pStyle w:val="Textonotapie"/>
        <w:jc w:val="both"/>
        <w:rPr>
          <w:rFonts w:ascii="Verdana" w:hAnsi="Verdana"/>
          <w:sz w:val="18"/>
          <w:szCs w:val="18"/>
          <w:lang w:val="es-MX"/>
        </w:rPr>
      </w:pPr>
      <w:r w:rsidRPr="0081379C">
        <w:rPr>
          <w:rStyle w:val="Refdenotaalpie"/>
          <w:rFonts w:ascii="Verdana" w:hAnsi="Verdana"/>
          <w:sz w:val="18"/>
          <w:szCs w:val="18"/>
        </w:rPr>
        <w:footnoteRef/>
      </w:r>
      <w:r w:rsidRPr="0081379C">
        <w:rPr>
          <w:rFonts w:ascii="Verdana" w:hAnsi="Verdana"/>
          <w:sz w:val="18"/>
          <w:szCs w:val="18"/>
        </w:rPr>
        <w:t xml:space="preserve"> </w:t>
      </w:r>
      <w:r w:rsidRPr="001C6D55">
        <w:rPr>
          <w:sz w:val="18"/>
          <w:szCs w:val="18"/>
          <w:lang w:val="es-MX"/>
        </w:rPr>
        <w:t>La información de la administración del riesgo de la ART, a nivel: Mapa de riesgos institucional se encuentra controlada en el repositorio interno: “MARTE//” en el cual están los mapas de riesgo por vigencia. Respecto al mapa vigente éste se encuentra publicado en el repositorio interno del sistema integrado de gestión denominado “SIGART” donde se puede consultar el mapa de la vigencia actual. donde se puede consultar el mapa de la vigencia actual. donde se puede consultar el mapa de la vigencia actual. Respecto de los riesgos de corrupción, estos se encuentran publicados adicionalmente la página web de la entidad. Dando cumplimiento a la política de transparencia y acceso a la información pública.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5AC60F" w14:textId="7780ACD0" w:rsidR="00E710EC" w:rsidRDefault="00DD664F" w:rsidP="00DD664F">
    <w:pPr>
      <w:pStyle w:val="Encabezado"/>
      <w:jc w:val="center"/>
    </w:pPr>
    <w:r w:rsidRPr="00DD664F">
      <w:rPr>
        <w:noProof/>
      </w:rPr>
      <w:drawing>
        <wp:inline distT="0" distB="0" distL="0" distR="0" wp14:anchorId="1E72ACD3" wp14:editId="7C71FCCE">
          <wp:extent cx="2387128" cy="909917"/>
          <wp:effectExtent l="0" t="0" r="635" b="5080"/>
          <wp:docPr id="131507315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073153" name=""/>
                  <pic:cNvPicPr/>
                </pic:nvPicPr>
                <pic:blipFill>
                  <a:blip r:embed="rId1"/>
                  <a:stretch>
                    <a:fillRect/>
                  </a:stretch>
                </pic:blipFill>
                <pic:spPr>
                  <a:xfrm>
                    <a:off x="0" y="0"/>
                    <a:ext cx="2431349" cy="92677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70717"/>
    <w:multiLevelType w:val="hybridMultilevel"/>
    <w:tmpl w:val="D17ABC3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F4347A"/>
    <w:multiLevelType w:val="hybridMultilevel"/>
    <w:tmpl w:val="F1A29930"/>
    <w:lvl w:ilvl="0" w:tplc="240A0001">
      <w:start w:val="1"/>
      <w:numFmt w:val="bullet"/>
      <w:lvlText w:val=""/>
      <w:lvlJc w:val="left"/>
      <w:pPr>
        <w:ind w:left="1068" w:hanging="360"/>
      </w:pPr>
      <w:rPr>
        <w:rFonts w:ascii="Symbol" w:hAnsi="Symbo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2" w15:restartNumberingAfterBreak="0">
    <w:nsid w:val="05732CA4"/>
    <w:multiLevelType w:val="multilevel"/>
    <w:tmpl w:val="7E2276FE"/>
    <w:lvl w:ilvl="0">
      <w:start w:val="1"/>
      <w:numFmt w:val="decimal"/>
      <w:lvlText w:val="%1."/>
      <w:lvlJc w:val="left"/>
      <w:pPr>
        <w:ind w:left="720" w:hanging="360"/>
      </w:pPr>
    </w:lvl>
    <w:lvl w:ilvl="1">
      <w:start w:val="1"/>
      <w:numFmt w:val="decimal"/>
      <w:pStyle w:val="Sinespaciado"/>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 w15:restartNumberingAfterBreak="0">
    <w:nsid w:val="0DAC2CE6"/>
    <w:multiLevelType w:val="hybridMultilevel"/>
    <w:tmpl w:val="3F04CB5C"/>
    <w:lvl w:ilvl="0" w:tplc="C56EB06A">
      <w:start w:val="10"/>
      <w:numFmt w:val="bullet"/>
      <w:lvlText w:val=""/>
      <w:lvlJc w:val="left"/>
      <w:pPr>
        <w:ind w:left="1211" w:hanging="360"/>
      </w:pPr>
      <w:rPr>
        <w:rFonts w:ascii="Symbol" w:eastAsiaTheme="minorHAnsi" w:hAnsi="Symbol" w:cs="Tahoma" w:hint="default"/>
      </w:rPr>
    </w:lvl>
    <w:lvl w:ilvl="1" w:tplc="240A0003" w:tentative="1">
      <w:start w:val="1"/>
      <w:numFmt w:val="bullet"/>
      <w:lvlText w:val="o"/>
      <w:lvlJc w:val="left"/>
      <w:pPr>
        <w:ind w:left="2100" w:hanging="360"/>
      </w:pPr>
      <w:rPr>
        <w:rFonts w:ascii="Courier New" w:hAnsi="Courier New" w:cs="Courier New" w:hint="default"/>
      </w:rPr>
    </w:lvl>
    <w:lvl w:ilvl="2" w:tplc="240A0005" w:tentative="1">
      <w:start w:val="1"/>
      <w:numFmt w:val="bullet"/>
      <w:lvlText w:val=""/>
      <w:lvlJc w:val="left"/>
      <w:pPr>
        <w:ind w:left="2820" w:hanging="360"/>
      </w:pPr>
      <w:rPr>
        <w:rFonts w:ascii="Wingdings" w:hAnsi="Wingdings" w:hint="default"/>
      </w:rPr>
    </w:lvl>
    <w:lvl w:ilvl="3" w:tplc="240A0001" w:tentative="1">
      <w:start w:val="1"/>
      <w:numFmt w:val="bullet"/>
      <w:lvlText w:val=""/>
      <w:lvlJc w:val="left"/>
      <w:pPr>
        <w:ind w:left="3540" w:hanging="360"/>
      </w:pPr>
      <w:rPr>
        <w:rFonts w:ascii="Symbol" w:hAnsi="Symbol" w:hint="default"/>
      </w:rPr>
    </w:lvl>
    <w:lvl w:ilvl="4" w:tplc="240A0003" w:tentative="1">
      <w:start w:val="1"/>
      <w:numFmt w:val="bullet"/>
      <w:lvlText w:val="o"/>
      <w:lvlJc w:val="left"/>
      <w:pPr>
        <w:ind w:left="4260" w:hanging="360"/>
      </w:pPr>
      <w:rPr>
        <w:rFonts w:ascii="Courier New" w:hAnsi="Courier New" w:cs="Courier New" w:hint="default"/>
      </w:rPr>
    </w:lvl>
    <w:lvl w:ilvl="5" w:tplc="240A0005" w:tentative="1">
      <w:start w:val="1"/>
      <w:numFmt w:val="bullet"/>
      <w:lvlText w:val=""/>
      <w:lvlJc w:val="left"/>
      <w:pPr>
        <w:ind w:left="4980" w:hanging="360"/>
      </w:pPr>
      <w:rPr>
        <w:rFonts w:ascii="Wingdings" w:hAnsi="Wingdings" w:hint="default"/>
      </w:rPr>
    </w:lvl>
    <w:lvl w:ilvl="6" w:tplc="240A0001" w:tentative="1">
      <w:start w:val="1"/>
      <w:numFmt w:val="bullet"/>
      <w:lvlText w:val=""/>
      <w:lvlJc w:val="left"/>
      <w:pPr>
        <w:ind w:left="5700" w:hanging="360"/>
      </w:pPr>
      <w:rPr>
        <w:rFonts w:ascii="Symbol" w:hAnsi="Symbol" w:hint="default"/>
      </w:rPr>
    </w:lvl>
    <w:lvl w:ilvl="7" w:tplc="240A0003" w:tentative="1">
      <w:start w:val="1"/>
      <w:numFmt w:val="bullet"/>
      <w:lvlText w:val="o"/>
      <w:lvlJc w:val="left"/>
      <w:pPr>
        <w:ind w:left="6420" w:hanging="360"/>
      </w:pPr>
      <w:rPr>
        <w:rFonts w:ascii="Courier New" w:hAnsi="Courier New" w:cs="Courier New" w:hint="default"/>
      </w:rPr>
    </w:lvl>
    <w:lvl w:ilvl="8" w:tplc="240A0005" w:tentative="1">
      <w:start w:val="1"/>
      <w:numFmt w:val="bullet"/>
      <w:lvlText w:val=""/>
      <w:lvlJc w:val="left"/>
      <w:pPr>
        <w:ind w:left="7140" w:hanging="360"/>
      </w:pPr>
      <w:rPr>
        <w:rFonts w:ascii="Wingdings" w:hAnsi="Wingdings" w:hint="default"/>
      </w:rPr>
    </w:lvl>
  </w:abstractNum>
  <w:abstractNum w:abstractNumId="4" w15:restartNumberingAfterBreak="0">
    <w:nsid w:val="0FB72461"/>
    <w:multiLevelType w:val="multilevel"/>
    <w:tmpl w:val="9E6E6DDE"/>
    <w:lvl w:ilvl="0">
      <w:start w:val="6"/>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1AF07CA"/>
    <w:multiLevelType w:val="multilevel"/>
    <w:tmpl w:val="2D2C570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52" w:hanging="372"/>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2D6108"/>
    <w:multiLevelType w:val="multilevel"/>
    <w:tmpl w:val="5B7C36D0"/>
    <w:lvl w:ilvl="0">
      <w:start w:val="7"/>
      <w:numFmt w:val="decimal"/>
      <w:lvlText w:val="%1"/>
      <w:lvlJc w:val="left"/>
      <w:pPr>
        <w:ind w:left="360" w:hanging="360"/>
      </w:pPr>
      <w:rPr>
        <w:rFonts w:hint="default"/>
      </w:rPr>
    </w:lvl>
    <w:lvl w:ilvl="1">
      <w:start w:val="9"/>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7" w15:restartNumberingAfterBreak="0">
    <w:nsid w:val="13543448"/>
    <w:multiLevelType w:val="hybridMultilevel"/>
    <w:tmpl w:val="E9AC2E98"/>
    <w:lvl w:ilvl="0" w:tplc="53D6A860">
      <w:numFmt w:val="bullet"/>
      <w:lvlText w:val="-"/>
      <w:lvlJc w:val="left"/>
      <w:pPr>
        <w:tabs>
          <w:tab w:val="num" w:pos="720"/>
        </w:tabs>
        <w:ind w:left="720" w:hanging="360"/>
      </w:pPr>
      <w:rPr>
        <w:rFonts w:ascii="Tempus Sans ITC" w:eastAsia="Arial" w:hAnsi="Tempus Sans ITC" w:cs="Arial" w:hint="default"/>
        <w:sz w:val="20"/>
      </w:rPr>
    </w:lvl>
    <w:lvl w:ilvl="1" w:tplc="D2048FCE">
      <w:start w:val="1"/>
      <w:numFmt w:val="bullet"/>
      <w:lvlText w:val="o"/>
      <w:lvlJc w:val="left"/>
      <w:pPr>
        <w:tabs>
          <w:tab w:val="num" w:pos="1440"/>
        </w:tabs>
        <w:ind w:left="1440" w:hanging="360"/>
      </w:pPr>
      <w:rPr>
        <w:rFonts w:ascii="Courier New" w:hAnsi="Courier New" w:hint="default"/>
        <w:sz w:val="20"/>
      </w:rPr>
    </w:lvl>
    <w:lvl w:ilvl="2" w:tplc="466C2CDE" w:tentative="1">
      <w:start w:val="1"/>
      <w:numFmt w:val="bullet"/>
      <w:lvlText w:val=""/>
      <w:lvlJc w:val="left"/>
      <w:pPr>
        <w:tabs>
          <w:tab w:val="num" w:pos="2160"/>
        </w:tabs>
        <w:ind w:left="2160" w:hanging="360"/>
      </w:pPr>
      <w:rPr>
        <w:rFonts w:ascii="Wingdings" w:hAnsi="Wingdings" w:hint="default"/>
        <w:sz w:val="20"/>
      </w:rPr>
    </w:lvl>
    <w:lvl w:ilvl="3" w:tplc="B70CFAE4" w:tentative="1">
      <w:start w:val="1"/>
      <w:numFmt w:val="bullet"/>
      <w:lvlText w:val=""/>
      <w:lvlJc w:val="left"/>
      <w:pPr>
        <w:tabs>
          <w:tab w:val="num" w:pos="2880"/>
        </w:tabs>
        <w:ind w:left="2880" w:hanging="360"/>
      </w:pPr>
      <w:rPr>
        <w:rFonts w:ascii="Wingdings" w:hAnsi="Wingdings" w:hint="default"/>
        <w:sz w:val="20"/>
      </w:rPr>
    </w:lvl>
    <w:lvl w:ilvl="4" w:tplc="9A789AE4" w:tentative="1">
      <w:start w:val="1"/>
      <w:numFmt w:val="bullet"/>
      <w:lvlText w:val=""/>
      <w:lvlJc w:val="left"/>
      <w:pPr>
        <w:tabs>
          <w:tab w:val="num" w:pos="3600"/>
        </w:tabs>
        <w:ind w:left="3600" w:hanging="360"/>
      </w:pPr>
      <w:rPr>
        <w:rFonts w:ascii="Wingdings" w:hAnsi="Wingdings" w:hint="default"/>
        <w:sz w:val="20"/>
      </w:rPr>
    </w:lvl>
    <w:lvl w:ilvl="5" w:tplc="CB0C19B2" w:tentative="1">
      <w:start w:val="1"/>
      <w:numFmt w:val="bullet"/>
      <w:lvlText w:val=""/>
      <w:lvlJc w:val="left"/>
      <w:pPr>
        <w:tabs>
          <w:tab w:val="num" w:pos="4320"/>
        </w:tabs>
        <w:ind w:left="4320" w:hanging="360"/>
      </w:pPr>
      <w:rPr>
        <w:rFonts w:ascii="Wingdings" w:hAnsi="Wingdings" w:hint="default"/>
        <w:sz w:val="20"/>
      </w:rPr>
    </w:lvl>
    <w:lvl w:ilvl="6" w:tplc="370E610C" w:tentative="1">
      <w:start w:val="1"/>
      <w:numFmt w:val="bullet"/>
      <w:lvlText w:val=""/>
      <w:lvlJc w:val="left"/>
      <w:pPr>
        <w:tabs>
          <w:tab w:val="num" w:pos="5040"/>
        </w:tabs>
        <w:ind w:left="5040" w:hanging="360"/>
      </w:pPr>
      <w:rPr>
        <w:rFonts w:ascii="Wingdings" w:hAnsi="Wingdings" w:hint="default"/>
        <w:sz w:val="20"/>
      </w:rPr>
    </w:lvl>
    <w:lvl w:ilvl="7" w:tplc="873A3DD2" w:tentative="1">
      <w:start w:val="1"/>
      <w:numFmt w:val="bullet"/>
      <w:lvlText w:val=""/>
      <w:lvlJc w:val="left"/>
      <w:pPr>
        <w:tabs>
          <w:tab w:val="num" w:pos="5760"/>
        </w:tabs>
        <w:ind w:left="5760" w:hanging="360"/>
      </w:pPr>
      <w:rPr>
        <w:rFonts w:ascii="Wingdings" w:hAnsi="Wingdings" w:hint="default"/>
        <w:sz w:val="20"/>
      </w:rPr>
    </w:lvl>
    <w:lvl w:ilvl="8" w:tplc="143C98FE"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963A05"/>
    <w:multiLevelType w:val="hybridMultilevel"/>
    <w:tmpl w:val="4F4A3472"/>
    <w:lvl w:ilvl="0" w:tplc="7DAA72B6">
      <w:start w:val="1"/>
      <w:numFmt w:val="decimal"/>
      <w:lvlText w:val="%1."/>
      <w:lvlJc w:val="left"/>
      <w:pPr>
        <w:ind w:left="1080" w:hanging="360"/>
      </w:pPr>
      <w:rPr>
        <w:b/>
        <w:bCs/>
      </w:rPr>
    </w:lvl>
    <w:lvl w:ilvl="1" w:tplc="240A0019">
      <w:start w:val="1"/>
      <w:numFmt w:val="lowerLetter"/>
      <w:lvlText w:val="%2."/>
      <w:lvlJc w:val="left"/>
      <w:pPr>
        <w:ind w:left="1800" w:hanging="360"/>
      </w:pPr>
    </w:lvl>
    <w:lvl w:ilvl="2" w:tplc="240A001B">
      <w:start w:val="1"/>
      <w:numFmt w:val="lowerRoman"/>
      <w:lvlText w:val="%3."/>
      <w:lvlJc w:val="right"/>
      <w:pPr>
        <w:ind w:left="2520" w:hanging="180"/>
      </w:pPr>
    </w:lvl>
    <w:lvl w:ilvl="3" w:tplc="240A000F">
      <w:start w:val="1"/>
      <w:numFmt w:val="decimal"/>
      <w:lvlText w:val="%4."/>
      <w:lvlJc w:val="left"/>
      <w:pPr>
        <w:ind w:left="3240" w:hanging="360"/>
      </w:pPr>
    </w:lvl>
    <w:lvl w:ilvl="4" w:tplc="240A0019">
      <w:start w:val="1"/>
      <w:numFmt w:val="lowerLetter"/>
      <w:lvlText w:val="%5."/>
      <w:lvlJc w:val="left"/>
      <w:pPr>
        <w:ind w:left="3960" w:hanging="360"/>
      </w:pPr>
    </w:lvl>
    <w:lvl w:ilvl="5" w:tplc="240A001B">
      <w:start w:val="1"/>
      <w:numFmt w:val="lowerRoman"/>
      <w:lvlText w:val="%6."/>
      <w:lvlJc w:val="right"/>
      <w:pPr>
        <w:ind w:left="4680" w:hanging="180"/>
      </w:pPr>
    </w:lvl>
    <w:lvl w:ilvl="6" w:tplc="240A000F">
      <w:start w:val="1"/>
      <w:numFmt w:val="decimal"/>
      <w:lvlText w:val="%7."/>
      <w:lvlJc w:val="left"/>
      <w:pPr>
        <w:ind w:left="5400" w:hanging="360"/>
      </w:pPr>
    </w:lvl>
    <w:lvl w:ilvl="7" w:tplc="240A0019">
      <w:start w:val="1"/>
      <w:numFmt w:val="lowerLetter"/>
      <w:lvlText w:val="%8."/>
      <w:lvlJc w:val="left"/>
      <w:pPr>
        <w:ind w:left="6120" w:hanging="360"/>
      </w:pPr>
    </w:lvl>
    <w:lvl w:ilvl="8" w:tplc="240A001B">
      <w:start w:val="1"/>
      <w:numFmt w:val="lowerRoman"/>
      <w:lvlText w:val="%9."/>
      <w:lvlJc w:val="right"/>
      <w:pPr>
        <w:ind w:left="6840" w:hanging="180"/>
      </w:pPr>
    </w:lvl>
  </w:abstractNum>
  <w:abstractNum w:abstractNumId="9" w15:restartNumberingAfterBreak="0">
    <w:nsid w:val="16A4412F"/>
    <w:multiLevelType w:val="hybridMultilevel"/>
    <w:tmpl w:val="1540ABB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6DD56C7"/>
    <w:multiLevelType w:val="multilevel"/>
    <w:tmpl w:val="BBE24094"/>
    <w:lvl w:ilvl="0">
      <w:start w:val="7"/>
      <w:numFmt w:val="decimal"/>
      <w:lvlText w:val="%1"/>
      <w:lvlJc w:val="left"/>
      <w:pPr>
        <w:ind w:left="480" w:hanging="480"/>
      </w:pPr>
      <w:rPr>
        <w:rFonts w:hint="default"/>
      </w:rPr>
    </w:lvl>
    <w:lvl w:ilvl="1">
      <w:start w:val="9"/>
      <w:numFmt w:val="decimal"/>
      <w:lvlText w:val="%1.%2"/>
      <w:lvlJc w:val="left"/>
      <w:pPr>
        <w:ind w:left="660" w:hanging="48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15:restartNumberingAfterBreak="0">
    <w:nsid w:val="20510824"/>
    <w:multiLevelType w:val="hybridMultilevel"/>
    <w:tmpl w:val="ED66DF8E"/>
    <w:lvl w:ilvl="0" w:tplc="DC58B7F0">
      <w:start w:val="1"/>
      <w:numFmt w:val="lowerRoman"/>
      <w:lvlText w:val="(%1)"/>
      <w:lvlJc w:val="left"/>
      <w:pPr>
        <w:ind w:left="1429" w:hanging="72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12" w15:restartNumberingAfterBreak="0">
    <w:nsid w:val="2D4985A6"/>
    <w:multiLevelType w:val="hybridMultilevel"/>
    <w:tmpl w:val="FFFFFFFF"/>
    <w:lvl w:ilvl="0" w:tplc="CE7E758E">
      <w:start w:val="1"/>
      <w:numFmt w:val="lowerRoman"/>
      <w:lvlText w:val="%1."/>
      <w:lvlJc w:val="left"/>
      <w:pPr>
        <w:ind w:left="1080" w:hanging="720"/>
      </w:pPr>
      <w:rPr>
        <w:rFonts w:ascii="Arial" w:hAnsi="Arial" w:cs="Times New Roman" w:hint="default"/>
      </w:rPr>
    </w:lvl>
    <w:lvl w:ilvl="1" w:tplc="33104EF2">
      <w:start w:val="1"/>
      <w:numFmt w:val="lowerLetter"/>
      <w:lvlText w:val="%2."/>
      <w:lvlJc w:val="left"/>
      <w:pPr>
        <w:ind w:left="1440" w:hanging="360"/>
      </w:pPr>
    </w:lvl>
    <w:lvl w:ilvl="2" w:tplc="03C644E4">
      <w:start w:val="1"/>
      <w:numFmt w:val="lowerRoman"/>
      <w:lvlText w:val="%3."/>
      <w:lvlJc w:val="right"/>
      <w:pPr>
        <w:ind w:left="2160" w:hanging="180"/>
      </w:pPr>
    </w:lvl>
    <w:lvl w:ilvl="3" w:tplc="666CDC0E">
      <w:start w:val="1"/>
      <w:numFmt w:val="decimal"/>
      <w:lvlText w:val="%4."/>
      <w:lvlJc w:val="left"/>
      <w:pPr>
        <w:ind w:left="2880" w:hanging="360"/>
      </w:pPr>
    </w:lvl>
    <w:lvl w:ilvl="4" w:tplc="90B60B56">
      <w:start w:val="1"/>
      <w:numFmt w:val="lowerLetter"/>
      <w:lvlText w:val="%5."/>
      <w:lvlJc w:val="left"/>
      <w:pPr>
        <w:ind w:left="3600" w:hanging="360"/>
      </w:pPr>
    </w:lvl>
    <w:lvl w:ilvl="5" w:tplc="296A43A0">
      <w:start w:val="1"/>
      <w:numFmt w:val="lowerRoman"/>
      <w:lvlText w:val="%6."/>
      <w:lvlJc w:val="right"/>
      <w:pPr>
        <w:ind w:left="4320" w:hanging="180"/>
      </w:pPr>
    </w:lvl>
    <w:lvl w:ilvl="6" w:tplc="A3128876">
      <w:start w:val="1"/>
      <w:numFmt w:val="decimal"/>
      <w:lvlText w:val="%7."/>
      <w:lvlJc w:val="left"/>
      <w:pPr>
        <w:ind w:left="5040" w:hanging="360"/>
      </w:pPr>
    </w:lvl>
    <w:lvl w:ilvl="7" w:tplc="A7AE5F2E">
      <w:start w:val="1"/>
      <w:numFmt w:val="lowerLetter"/>
      <w:lvlText w:val="%8."/>
      <w:lvlJc w:val="left"/>
      <w:pPr>
        <w:ind w:left="5760" w:hanging="360"/>
      </w:pPr>
    </w:lvl>
    <w:lvl w:ilvl="8" w:tplc="DB586EF2">
      <w:start w:val="1"/>
      <w:numFmt w:val="lowerRoman"/>
      <w:lvlText w:val="%9."/>
      <w:lvlJc w:val="right"/>
      <w:pPr>
        <w:ind w:left="6480" w:hanging="180"/>
      </w:pPr>
    </w:lvl>
  </w:abstractNum>
  <w:abstractNum w:abstractNumId="13" w15:restartNumberingAfterBreak="0">
    <w:nsid w:val="34D5F9A7"/>
    <w:multiLevelType w:val="hybridMultilevel"/>
    <w:tmpl w:val="FFFFFFFF"/>
    <w:lvl w:ilvl="0" w:tplc="E6609A5E">
      <w:start w:val="1"/>
      <w:numFmt w:val="bullet"/>
      <w:lvlText w:val=""/>
      <w:lvlJc w:val="left"/>
      <w:pPr>
        <w:ind w:left="720" w:hanging="360"/>
      </w:pPr>
      <w:rPr>
        <w:rFonts w:ascii="Symbol" w:hAnsi="Symbol" w:hint="default"/>
      </w:rPr>
    </w:lvl>
    <w:lvl w:ilvl="1" w:tplc="AD86A30E">
      <w:start w:val="1"/>
      <w:numFmt w:val="bullet"/>
      <w:lvlText w:val="o"/>
      <w:lvlJc w:val="left"/>
      <w:pPr>
        <w:ind w:left="1440" w:hanging="360"/>
      </w:pPr>
      <w:rPr>
        <w:rFonts w:ascii="Courier New" w:hAnsi="Courier New" w:cs="Times New Roman" w:hint="default"/>
      </w:rPr>
    </w:lvl>
    <w:lvl w:ilvl="2" w:tplc="F176EF62">
      <w:start w:val="1"/>
      <w:numFmt w:val="bullet"/>
      <w:lvlText w:val=""/>
      <w:lvlJc w:val="left"/>
      <w:pPr>
        <w:ind w:left="2160" w:hanging="360"/>
      </w:pPr>
      <w:rPr>
        <w:rFonts w:ascii="Wingdings" w:hAnsi="Wingdings" w:hint="default"/>
      </w:rPr>
    </w:lvl>
    <w:lvl w:ilvl="3" w:tplc="4A7491BC">
      <w:start w:val="1"/>
      <w:numFmt w:val="bullet"/>
      <w:lvlText w:val=""/>
      <w:lvlJc w:val="left"/>
      <w:pPr>
        <w:ind w:left="2880" w:hanging="360"/>
      </w:pPr>
      <w:rPr>
        <w:rFonts w:ascii="Symbol" w:hAnsi="Symbol" w:hint="default"/>
      </w:rPr>
    </w:lvl>
    <w:lvl w:ilvl="4" w:tplc="7C067CC4">
      <w:start w:val="1"/>
      <w:numFmt w:val="bullet"/>
      <w:lvlText w:val="o"/>
      <w:lvlJc w:val="left"/>
      <w:pPr>
        <w:ind w:left="3600" w:hanging="360"/>
      </w:pPr>
      <w:rPr>
        <w:rFonts w:ascii="Courier New" w:hAnsi="Courier New" w:cs="Times New Roman" w:hint="default"/>
      </w:rPr>
    </w:lvl>
    <w:lvl w:ilvl="5" w:tplc="F59042A2">
      <w:start w:val="1"/>
      <w:numFmt w:val="bullet"/>
      <w:lvlText w:val=""/>
      <w:lvlJc w:val="left"/>
      <w:pPr>
        <w:ind w:left="4320" w:hanging="360"/>
      </w:pPr>
      <w:rPr>
        <w:rFonts w:ascii="Wingdings" w:hAnsi="Wingdings" w:hint="default"/>
      </w:rPr>
    </w:lvl>
    <w:lvl w:ilvl="6" w:tplc="9934C82A">
      <w:start w:val="1"/>
      <w:numFmt w:val="bullet"/>
      <w:lvlText w:val=""/>
      <w:lvlJc w:val="left"/>
      <w:pPr>
        <w:ind w:left="5040" w:hanging="360"/>
      </w:pPr>
      <w:rPr>
        <w:rFonts w:ascii="Symbol" w:hAnsi="Symbol" w:hint="default"/>
      </w:rPr>
    </w:lvl>
    <w:lvl w:ilvl="7" w:tplc="AD5C1F9A">
      <w:start w:val="1"/>
      <w:numFmt w:val="bullet"/>
      <w:lvlText w:val="o"/>
      <w:lvlJc w:val="left"/>
      <w:pPr>
        <w:ind w:left="5760" w:hanging="360"/>
      </w:pPr>
      <w:rPr>
        <w:rFonts w:ascii="Courier New" w:hAnsi="Courier New" w:cs="Times New Roman" w:hint="default"/>
      </w:rPr>
    </w:lvl>
    <w:lvl w:ilvl="8" w:tplc="A7AABD54">
      <w:start w:val="1"/>
      <w:numFmt w:val="bullet"/>
      <w:lvlText w:val=""/>
      <w:lvlJc w:val="left"/>
      <w:pPr>
        <w:ind w:left="6480" w:hanging="360"/>
      </w:pPr>
      <w:rPr>
        <w:rFonts w:ascii="Wingdings" w:hAnsi="Wingdings" w:hint="default"/>
      </w:rPr>
    </w:lvl>
  </w:abstractNum>
  <w:abstractNum w:abstractNumId="14" w15:restartNumberingAfterBreak="0">
    <w:nsid w:val="3E212E6B"/>
    <w:multiLevelType w:val="hybridMultilevel"/>
    <w:tmpl w:val="FFFFFFFF"/>
    <w:lvl w:ilvl="0" w:tplc="F6E8D60A">
      <w:start w:val="1"/>
      <w:numFmt w:val="bullet"/>
      <w:lvlText w:val=""/>
      <w:lvlJc w:val="left"/>
      <w:pPr>
        <w:ind w:left="720" w:hanging="360"/>
      </w:pPr>
      <w:rPr>
        <w:rFonts w:ascii="Symbol" w:hAnsi="Symbol" w:hint="default"/>
      </w:rPr>
    </w:lvl>
    <w:lvl w:ilvl="1" w:tplc="CBBA32A6">
      <w:start w:val="1"/>
      <w:numFmt w:val="bullet"/>
      <w:lvlText w:val="o"/>
      <w:lvlJc w:val="left"/>
      <w:pPr>
        <w:ind w:left="1440" w:hanging="360"/>
      </w:pPr>
      <w:rPr>
        <w:rFonts w:ascii="Courier New" w:hAnsi="Courier New" w:cs="Times New Roman" w:hint="default"/>
      </w:rPr>
    </w:lvl>
    <w:lvl w:ilvl="2" w:tplc="6F7EBBE0">
      <w:start w:val="1"/>
      <w:numFmt w:val="bullet"/>
      <w:lvlText w:val=""/>
      <w:lvlJc w:val="left"/>
      <w:pPr>
        <w:ind w:left="2160" w:hanging="360"/>
      </w:pPr>
      <w:rPr>
        <w:rFonts w:ascii="Wingdings" w:hAnsi="Wingdings" w:hint="default"/>
      </w:rPr>
    </w:lvl>
    <w:lvl w:ilvl="3" w:tplc="1D6C0F24">
      <w:start w:val="1"/>
      <w:numFmt w:val="bullet"/>
      <w:lvlText w:val=""/>
      <w:lvlJc w:val="left"/>
      <w:pPr>
        <w:ind w:left="2880" w:hanging="360"/>
      </w:pPr>
      <w:rPr>
        <w:rFonts w:ascii="Symbol" w:hAnsi="Symbol" w:hint="default"/>
      </w:rPr>
    </w:lvl>
    <w:lvl w:ilvl="4" w:tplc="25EE8172">
      <w:start w:val="1"/>
      <w:numFmt w:val="bullet"/>
      <w:lvlText w:val="o"/>
      <w:lvlJc w:val="left"/>
      <w:pPr>
        <w:ind w:left="3600" w:hanging="360"/>
      </w:pPr>
      <w:rPr>
        <w:rFonts w:ascii="Courier New" w:hAnsi="Courier New" w:cs="Times New Roman" w:hint="default"/>
      </w:rPr>
    </w:lvl>
    <w:lvl w:ilvl="5" w:tplc="7F94C2A0">
      <w:start w:val="1"/>
      <w:numFmt w:val="bullet"/>
      <w:lvlText w:val=""/>
      <w:lvlJc w:val="left"/>
      <w:pPr>
        <w:ind w:left="4320" w:hanging="360"/>
      </w:pPr>
      <w:rPr>
        <w:rFonts w:ascii="Wingdings" w:hAnsi="Wingdings" w:hint="default"/>
      </w:rPr>
    </w:lvl>
    <w:lvl w:ilvl="6" w:tplc="02946998">
      <w:start w:val="1"/>
      <w:numFmt w:val="bullet"/>
      <w:lvlText w:val=""/>
      <w:lvlJc w:val="left"/>
      <w:pPr>
        <w:ind w:left="5040" w:hanging="360"/>
      </w:pPr>
      <w:rPr>
        <w:rFonts w:ascii="Symbol" w:hAnsi="Symbol" w:hint="default"/>
      </w:rPr>
    </w:lvl>
    <w:lvl w:ilvl="7" w:tplc="5C1CF9E0">
      <w:start w:val="1"/>
      <w:numFmt w:val="bullet"/>
      <w:lvlText w:val="o"/>
      <w:lvlJc w:val="left"/>
      <w:pPr>
        <w:ind w:left="5760" w:hanging="360"/>
      </w:pPr>
      <w:rPr>
        <w:rFonts w:ascii="Courier New" w:hAnsi="Courier New" w:cs="Times New Roman" w:hint="default"/>
      </w:rPr>
    </w:lvl>
    <w:lvl w:ilvl="8" w:tplc="AF829A6A">
      <w:start w:val="1"/>
      <w:numFmt w:val="bullet"/>
      <w:lvlText w:val=""/>
      <w:lvlJc w:val="left"/>
      <w:pPr>
        <w:ind w:left="6480" w:hanging="360"/>
      </w:pPr>
      <w:rPr>
        <w:rFonts w:ascii="Wingdings" w:hAnsi="Wingdings" w:hint="default"/>
      </w:rPr>
    </w:lvl>
  </w:abstractNum>
  <w:abstractNum w:abstractNumId="15" w15:restartNumberingAfterBreak="0">
    <w:nsid w:val="3E3E8245"/>
    <w:multiLevelType w:val="hybridMultilevel"/>
    <w:tmpl w:val="FFFFFFFF"/>
    <w:lvl w:ilvl="0" w:tplc="0524A176">
      <w:start w:val="1"/>
      <w:numFmt w:val="bullet"/>
      <w:lvlText w:val=""/>
      <w:lvlJc w:val="left"/>
      <w:pPr>
        <w:ind w:left="2160" w:hanging="360"/>
      </w:pPr>
      <w:rPr>
        <w:rFonts w:ascii="Wingdings" w:hAnsi="Wingdings" w:hint="default"/>
      </w:rPr>
    </w:lvl>
    <w:lvl w:ilvl="1" w:tplc="AB7E7D84">
      <w:start w:val="1"/>
      <w:numFmt w:val="bullet"/>
      <w:lvlText w:val="o"/>
      <w:lvlJc w:val="left"/>
      <w:pPr>
        <w:ind w:left="1440" w:hanging="360"/>
      </w:pPr>
      <w:rPr>
        <w:rFonts w:ascii="Courier New" w:hAnsi="Courier New" w:cs="Times New Roman" w:hint="default"/>
      </w:rPr>
    </w:lvl>
    <w:lvl w:ilvl="2" w:tplc="98AA1B6E">
      <w:start w:val="1"/>
      <w:numFmt w:val="bullet"/>
      <w:lvlText w:val=""/>
      <w:lvlJc w:val="left"/>
      <w:pPr>
        <w:ind w:left="2160" w:hanging="360"/>
      </w:pPr>
      <w:rPr>
        <w:rFonts w:ascii="Wingdings" w:hAnsi="Wingdings" w:hint="default"/>
      </w:rPr>
    </w:lvl>
    <w:lvl w:ilvl="3" w:tplc="8B3889C6">
      <w:start w:val="1"/>
      <w:numFmt w:val="bullet"/>
      <w:lvlText w:val=""/>
      <w:lvlJc w:val="left"/>
      <w:pPr>
        <w:ind w:left="2880" w:hanging="360"/>
      </w:pPr>
      <w:rPr>
        <w:rFonts w:ascii="Symbol" w:hAnsi="Symbol" w:hint="default"/>
      </w:rPr>
    </w:lvl>
    <w:lvl w:ilvl="4" w:tplc="E3CA3FFE">
      <w:start w:val="1"/>
      <w:numFmt w:val="bullet"/>
      <w:lvlText w:val="o"/>
      <w:lvlJc w:val="left"/>
      <w:pPr>
        <w:ind w:left="3600" w:hanging="360"/>
      </w:pPr>
      <w:rPr>
        <w:rFonts w:ascii="Courier New" w:hAnsi="Courier New" w:cs="Times New Roman" w:hint="default"/>
      </w:rPr>
    </w:lvl>
    <w:lvl w:ilvl="5" w:tplc="7A34A512">
      <w:start w:val="1"/>
      <w:numFmt w:val="bullet"/>
      <w:lvlText w:val=""/>
      <w:lvlJc w:val="left"/>
      <w:pPr>
        <w:ind w:left="4320" w:hanging="360"/>
      </w:pPr>
      <w:rPr>
        <w:rFonts w:ascii="Wingdings" w:hAnsi="Wingdings" w:hint="default"/>
      </w:rPr>
    </w:lvl>
    <w:lvl w:ilvl="6" w:tplc="55D4335E">
      <w:start w:val="1"/>
      <w:numFmt w:val="bullet"/>
      <w:lvlText w:val=""/>
      <w:lvlJc w:val="left"/>
      <w:pPr>
        <w:ind w:left="5040" w:hanging="360"/>
      </w:pPr>
      <w:rPr>
        <w:rFonts w:ascii="Symbol" w:hAnsi="Symbol" w:hint="default"/>
      </w:rPr>
    </w:lvl>
    <w:lvl w:ilvl="7" w:tplc="1E52834C">
      <w:start w:val="1"/>
      <w:numFmt w:val="bullet"/>
      <w:lvlText w:val="o"/>
      <w:lvlJc w:val="left"/>
      <w:pPr>
        <w:ind w:left="5760" w:hanging="360"/>
      </w:pPr>
      <w:rPr>
        <w:rFonts w:ascii="Courier New" w:hAnsi="Courier New" w:cs="Times New Roman" w:hint="default"/>
      </w:rPr>
    </w:lvl>
    <w:lvl w:ilvl="8" w:tplc="99386840">
      <w:start w:val="1"/>
      <w:numFmt w:val="bullet"/>
      <w:lvlText w:val=""/>
      <w:lvlJc w:val="left"/>
      <w:pPr>
        <w:ind w:left="6480" w:hanging="360"/>
      </w:pPr>
      <w:rPr>
        <w:rFonts w:ascii="Wingdings" w:hAnsi="Wingdings" w:hint="default"/>
      </w:rPr>
    </w:lvl>
  </w:abstractNum>
  <w:abstractNum w:abstractNumId="16" w15:restartNumberingAfterBreak="0">
    <w:nsid w:val="3FED2967"/>
    <w:multiLevelType w:val="hybridMultilevel"/>
    <w:tmpl w:val="19622C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495C145A"/>
    <w:multiLevelType w:val="multilevel"/>
    <w:tmpl w:val="D54C5FBA"/>
    <w:lvl w:ilvl="0">
      <w:start w:val="9"/>
      <w:numFmt w:val="decimal"/>
      <w:lvlText w:val="%1"/>
      <w:lvlJc w:val="left"/>
      <w:pPr>
        <w:ind w:left="456" w:hanging="456"/>
      </w:pPr>
      <w:rPr>
        <w:rFonts w:hint="default"/>
        <w:color w:val="0070C0"/>
      </w:rPr>
    </w:lvl>
    <w:lvl w:ilvl="1">
      <w:start w:val="2"/>
      <w:numFmt w:val="decimal"/>
      <w:lvlText w:val="%1.%2"/>
      <w:lvlJc w:val="left"/>
      <w:pPr>
        <w:ind w:left="810" w:hanging="456"/>
      </w:pPr>
      <w:rPr>
        <w:rFonts w:hint="default"/>
        <w:color w:val="0070C0"/>
      </w:rPr>
    </w:lvl>
    <w:lvl w:ilvl="2">
      <w:start w:val="2"/>
      <w:numFmt w:val="decimal"/>
      <w:lvlText w:val="%1.%2.%3"/>
      <w:lvlJc w:val="left"/>
      <w:pPr>
        <w:ind w:left="1428" w:hanging="720"/>
      </w:pPr>
      <w:rPr>
        <w:rFonts w:hint="default"/>
        <w:color w:val="0070C0"/>
      </w:rPr>
    </w:lvl>
    <w:lvl w:ilvl="3">
      <w:start w:val="1"/>
      <w:numFmt w:val="decimal"/>
      <w:lvlText w:val="%1.%2.%3.%4"/>
      <w:lvlJc w:val="left"/>
      <w:pPr>
        <w:ind w:left="1782" w:hanging="720"/>
      </w:pPr>
      <w:rPr>
        <w:rFonts w:hint="default"/>
        <w:color w:val="0070C0"/>
      </w:rPr>
    </w:lvl>
    <w:lvl w:ilvl="4">
      <w:start w:val="1"/>
      <w:numFmt w:val="decimal"/>
      <w:lvlText w:val="%1.%2.%3.%4.%5"/>
      <w:lvlJc w:val="left"/>
      <w:pPr>
        <w:ind w:left="2496" w:hanging="1080"/>
      </w:pPr>
      <w:rPr>
        <w:rFonts w:hint="default"/>
        <w:color w:val="0070C0"/>
      </w:rPr>
    </w:lvl>
    <w:lvl w:ilvl="5">
      <w:start w:val="1"/>
      <w:numFmt w:val="decimal"/>
      <w:lvlText w:val="%1.%2.%3.%4.%5.%6"/>
      <w:lvlJc w:val="left"/>
      <w:pPr>
        <w:ind w:left="2850" w:hanging="1080"/>
      </w:pPr>
      <w:rPr>
        <w:rFonts w:hint="default"/>
        <w:color w:val="0070C0"/>
      </w:rPr>
    </w:lvl>
    <w:lvl w:ilvl="6">
      <w:start w:val="1"/>
      <w:numFmt w:val="decimal"/>
      <w:lvlText w:val="%1.%2.%3.%4.%5.%6.%7"/>
      <w:lvlJc w:val="left"/>
      <w:pPr>
        <w:ind w:left="3564" w:hanging="1440"/>
      </w:pPr>
      <w:rPr>
        <w:rFonts w:hint="default"/>
        <w:color w:val="0070C0"/>
      </w:rPr>
    </w:lvl>
    <w:lvl w:ilvl="7">
      <w:start w:val="1"/>
      <w:numFmt w:val="decimal"/>
      <w:lvlText w:val="%1.%2.%3.%4.%5.%6.%7.%8"/>
      <w:lvlJc w:val="left"/>
      <w:pPr>
        <w:ind w:left="4278" w:hanging="1800"/>
      </w:pPr>
      <w:rPr>
        <w:rFonts w:hint="default"/>
        <w:color w:val="0070C0"/>
      </w:rPr>
    </w:lvl>
    <w:lvl w:ilvl="8">
      <w:start w:val="1"/>
      <w:numFmt w:val="decimal"/>
      <w:lvlText w:val="%1.%2.%3.%4.%5.%6.%7.%8.%9"/>
      <w:lvlJc w:val="left"/>
      <w:pPr>
        <w:ind w:left="4632" w:hanging="1800"/>
      </w:pPr>
      <w:rPr>
        <w:rFonts w:hint="default"/>
        <w:color w:val="0070C0"/>
      </w:rPr>
    </w:lvl>
  </w:abstractNum>
  <w:abstractNum w:abstractNumId="18" w15:restartNumberingAfterBreak="0">
    <w:nsid w:val="49E05195"/>
    <w:multiLevelType w:val="multilevel"/>
    <w:tmpl w:val="05F00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AF97BB6"/>
    <w:multiLevelType w:val="hybridMultilevel"/>
    <w:tmpl w:val="9136644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4B7E9718"/>
    <w:multiLevelType w:val="hybridMultilevel"/>
    <w:tmpl w:val="3FB0BBDE"/>
    <w:lvl w:ilvl="0" w:tplc="DE586834">
      <w:start w:val="1"/>
      <w:numFmt w:val="decimal"/>
      <w:lvlText w:val="%1."/>
      <w:lvlJc w:val="left"/>
      <w:pPr>
        <w:ind w:left="927" w:hanging="360"/>
      </w:pPr>
      <w:rPr>
        <w:color w:val="FE1B7B"/>
      </w:rPr>
    </w:lvl>
    <w:lvl w:ilvl="1" w:tplc="2D4E660C">
      <w:start w:val="1"/>
      <w:numFmt w:val="lowerLetter"/>
      <w:lvlText w:val="%2."/>
      <w:lvlJc w:val="left"/>
      <w:pPr>
        <w:ind w:left="1440" w:hanging="360"/>
      </w:pPr>
    </w:lvl>
    <w:lvl w:ilvl="2" w:tplc="5406CE3C">
      <w:start w:val="1"/>
      <w:numFmt w:val="lowerRoman"/>
      <w:lvlText w:val="%3."/>
      <w:lvlJc w:val="right"/>
      <w:pPr>
        <w:ind w:left="2160" w:hanging="180"/>
      </w:pPr>
    </w:lvl>
    <w:lvl w:ilvl="3" w:tplc="8A229A8A">
      <w:start w:val="1"/>
      <w:numFmt w:val="decimal"/>
      <w:lvlText w:val="%4."/>
      <w:lvlJc w:val="left"/>
      <w:pPr>
        <w:ind w:left="2880" w:hanging="360"/>
      </w:pPr>
    </w:lvl>
    <w:lvl w:ilvl="4" w:tplc="43DA8B8A">
      <w:start w:val="1"/>
      <w:numFmt w:val="lowerLetter"/>
      <w:lvlText w:val="%5."/>
      <w:lvlJc w:val="left"/>
      <w:pPr>
        <w:ind w:left="3600" w:hanging="360"/>
      </w:pPr>
    </w:lvl>
    <w:lvl w:ilvl="5" w:tplc="C6F428EC">
      <w:start w:val="1"/>
      <w:numFmt w:val="lowerRoman"/>
      <w:lvlText w:val="%6."/>
      <w:lvlJc w:val="right"/>
      <w:pPr>
        <w:ind w:left="4320" w:hanging="180"/>
      </w:pPr>
    </w:lvl>
    <w:lvl w:ilvl="6" w:tplc="73AE48BA">
      <w:start w:val="1"/>
      <w:numFmt w:val="decimal"/>
      <w:lvlText w:val="%7."/>
      <w:lvlJc w:val="left"/>
      <w:pPr>
        <w:ind w:left="5040" w:hanging="360"/>
      </w:pPr>
    </w:lvl>
    <w:lvl w:ilvl="7" w:tplc="7764BC3A">
      <w:start w:val="1"/>
      <w:numFmt w:val="lowerLetter"/>
      <w:lvlText w:val="%8."/>
      <w:lvlJc w:val="left"/>
      <w:pPr>
        <w:ind w:left="5760" w:hanging="360"/>
      </w:pPr>
    </w:lvl>
    <w:lvl w:ilvl="8" w:tplc="A1642BAE">
      <w:start w:val="1"/>
      <w:numFmt w:val="lowerRoman"/>
      <w:lvlText w:val="%9."/>
      <w:lvlJc w:val="right"/>
      <w:pPr>
        <w:ind w:left="6480" w:hanging="180"/>
      </w:pPr>
    </w:lvl>
  </w:abstractNum>
  <w:abstractNum w:abstractNumId="21" w15:restartNumberingAfterBreak="0">
    <w:nsid w:val="4E2CAD10"/>
    <w:multiLevelType w:val="hybridMultilevel"/>
    <w:tmpl w:val="FFFFFFFF"/>
    <w:lvl w:ilvl="0" w:tplc="696CB9E4">
      <w:start w:val="1"/>
      <w:numFmt w:val="lowerRoman"/>
      <w:lvlText w:val="%1)"/>
      <w:lvlJc w:val="left"/>
      <w:pPr>
        <w:ind w:left="1080" w:hanging="720"/>
      </w:pPr>
      <w:rPr>
        <w:rFonts w:ascii="Arial" w:hAnsi="Arial" w:cs="Times New Roman" w:hint="default"/>
      </w:rPr>
    </w:lvl>
    <w:lvl w:ilvl="1" w:tplc="FCA00C54">
      <w:start w:val="1"/>
      <w:numFmt w:val="lowerLetter"/>
      <w:lvlText w:val="%2."/>
      <w:lvlJc w:val="left"/>
      <w:pPr>
        <w:ind w:left="1440" w:hanging="360"/>
      </w:pPr>
    </w:lvl>
    <w:lvl w:ilvl="2" w:tplc="56D6B178">
      <w:start w:val="1"/>
      <w:numFmt w:val="lowerRoman"/>
      <w:lvlText w:val="%3."/>
      <w:lvlJc w:val="right"/>
      <w:pPr>
        <w:ind w:left="2160" w:hanging="180"/>
      </w:pPr>
    </w:lvl>
    <w:lvl w:ilvl="3" w:tplc="D6622E5A">
      <w:start w:val="1"/>
      <w:numFmt w:val="decimal"/>
      <w:lvlText w:val="%4."/>
      <w:lvlJc w:val="left"/>
      <w:pPr>
        <w:ind w:left="2880" w:hanging="360"/>
      </w:pPr>
    </w:lvl>
    <w:lvl w:ilvl="4" w:tplc="C2BC3A6E">
      <w:start w:val="1"/>
      <w:numFmt w:val="lowerLetter"/>
      <w:lvlText w:val="%5."/>
      <w:lvlJc w:val="left"/>
      <w:pPr>
        <w:ind w:left="3600" w:hanging="360"/>
      </w:pPr>
    </w:lvl>
    <w:lvl w:ilvl="5" w:tplc="04768F66">
      <w:start w:val="1"/>
      <w:numFmt w:val="lowerRoman"/>
      <w:lvlText w:val="%6."/>
      <w:lvlJc w:val="right"/>
      <w:pPr>
        <w:ind w:left="4320" w:hanging="180"/>
      </w:pPr>
    </w:lvl>
    <w:lvl w:ilvl="6" w:tplc="AC6094FE">
      <w:start w:val="1"/>
      <w:numFmt w:val="decimal"/>
      <w:lvlText w:val="%7."/>
      <w:lvlJc w:val="left"/>
      <w:pPr>
        <w:ind w:left="5040" w:hanging="360"/>
      </w:pPr>
    </w:lvl>
    <w:lvl w:ilvl="7" w:tplc="66E02B9C">
      <w:start w:val="1"/>
      <w:numFmt w:val="lowerLetter"/>
      <w:lvlText w:val="%8."/>
      <w:lvlJc w:val="left"/>
      <w:pPr>
        <w:ind w:left="5760" w:hanging="360"/>
      </w:pPr>
    </w:lvl>
    <w:lvl w:ilvl="8" w:tplc="4A284148">
      <w:start w:val="1"/>
      <w:numFmt w:val="lowerRoman"/>
      <w:lvlText w:val="%9."/>
      <w:lvlJc w:val="right"/>
      <w:pPr>
        <w:ind w:left="6480" w:hanging="180"/>
      </w:pPr>
    </w:lvl>
  </w:abstractNum>
  <w:abstractNum w:abstractNumId="22" w15:restartNumberingAfterBreak="0">
    <w:nsid w:val="4F442AC5"/>
    <w:multiLevelType w:val="hybridMultilevel"/>
    <w:tmpl w:val="01E88F98"/>
    <w:lvl w:ilvl="0" w:tplc="6CF45DE0">
      <w:start w:val="11"/>
      <w:numFmt w:val="bullet"/>
      <w:lvlText w:val="-"/>
      <w:lvlJc w:val="left"/>
      <w:pPr>
        <w:ind w:left="786" w:hanging="360"/>
      </w:pPr>
      <w:rPr>
        <w:rFonts w:ascii="Arial" w:hAnsi="Arial" w:cs="Times New Roman" w:hint="default"/>
      </w:rPr>
    </w:lvl>
    <w:lvl w:ilvl="1" w:tplc="EC0AC3A4">
      <w:start w:val="1"/>
      <w:numFmt w:val="bullet"/>
      <w:lvlText w:val="o"/>
      <w:lvlJc w:val="left"/>
      <w:pPr>
        <w:ind w:left="1506" w:hanging="360"/>
      </w:pPr>
      <w:rPr>
        <w:rFonts w:ascii="Courier New" w:hAnsi="Courier New" w:cs="Times New Roman" w:hint="default"/>
      </w:rPr>
    </w:lvl>
    <w:lvl w:ilvl="2" w:tplc="EBDE537C">
      <w:start w:val="1"/>
      <w:numFmt w:val="bullet"/>
      <w:lvlText w:val=""/>
      <w:lvlJc w:val="left"/>
      <w:pPr>
        <w:ind w:left="2226" w:hanging="360"/>
      </w:pPr>
      <w:rPr>
        <w:rFonts w:ascii="Wingdings" w:hAnsi="Wingdings" w:hint="default"/>
      </w:rPr>
    </w:lvl>
    <w:lvl w:ilvl="3" w:tplc="107CC8F0">
      <w:start w:val="1"/>
      <w:numFmt w:val="bullet"/>
      <w:lvlText w:val=""/>
      <w:lvlJc w:val="left"/>
      <w:pPr>
        <w:ind w:left="2946" w:hanging="360"/>
      </w:pPr>
      <w:rPr>
        <w:rFonts w:ascii="Symbol" w:hAnsi="Symbol" w:hint="default"/>
      </w:rPr>
    </w:lvl>
    <w:lvl w:ilvl="4" w:tplc="4BA8C9C2">
      <w:start w:val="1"/>
      <w:numFmt w:val="bullet"/>
      <w:lvlText w:val="o"/>
      <w:lvlJc w:val="left"/>
      <w:pPr>
        <w:ind w:left="3666" w:hanging="360"/>
      </w:pPr>
      <w:rPr>
        <w:rFonts w:ascii="Courier New" w:hAnsi="Courier New" w:cs="Times New Roman" w:hint="default"/>
      </w:rPr>
    </w:lvl>
    <w:lvl w:ilvl="5" w:tplc="93E08754">
      <w:start w:val="1"/>
      <w:numFmt w:val="bullet"/>
      <w:lvlText w:val=""/>
      <w:lvlJc w:val="left"/>
      <w:pPr>
        <w:ind w:left="4386" w:hanging="360"/>
      </w:pPr>
      <w:rPr>
        <w:rFonts w:ascii="Wingdings" w:hAnsi="Wingdings" w:hint="default"/>
      </w:rPr>
    </w:lvl>
    <w:lvl w:ilvl="6" w:tplc="064629EA">
      <w:start w:val="1"/>
      <w:numFmt w:val="bullet"/>
      <w:lvlText w:val=""/>
      <w:lvlJc w:val="left"/>
      <w:pPr>
        <w:ind w:left="5106" w:hanging="360"/>
      </w:pPr>
      <w:rPr>
        <w:rFonts w:ascii="Symbol" w:hAnsi="Symbol" w:hint="default"/>
      </w:rPr>
    </w:lvl>
    <w:lvl w:ilvl="7" w:tplc="596876F8">
      <w:start w:val="1"/>
      <w:numFmt w:val="bullet"/>
      <w:lvlText w:val="o"/>
      <w:lvlJc w:val="left"/>
      <w:pPr>
        <w:ind w:left="5826" w:hanging="360"/>
      </w:pPr>
      <w:rPr>
        <w:rFonts w:ascii="Courier New" w:hAnsi="Courier New" w:cs="Times New Roman" w:hint="default"/>
      </w:rPr>
    </w:lvl>
    <w:lvl w:ilvl="8" w:tplc="AD10F1AE">
      <w:start w:val="1"/>
      <w:numFmt w:val="bullet"/>
      <w:lvlText w:val=""/>
      <w:lvlJc w:val="left"/>
      <w:pPr>
        <w:ind w:left="6546" w:hanging="360"/>
      </w:pPr>
      <w:rPr>
        <w:rFonts w:ascii="Wingdings" w:hAnsi="Wingdings" w:hint="default"/>
      </w:rPr>
    </w:lvl>
  </w:abstractNum>
  <w:abstractNum w:abstractNumId="23" w15:restartNumberingAfterBreak="0">
    <w:nsid w:val="54A57E1B"/>
    <w:multiLevelType w:val="multilevel"/>
    <w:tmpl w:val="6D745FE2"/>
    <w:lvl w:ilvl="0">
      <w:start w:val="12"/>
      <w:numFmt w:val="decimal"/>
      <w:lvlText w:val="%1"/>
      <w:lvlJc w:val="left"/>
      <w:pPr>
        <w:ind w:left="980" w:hanging="696"/>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24" w15:restartNumberingAfterBreak="0">
    <w:nsid w:val="57AB07FB"/>
    <w:multiLevelType w:val="hybridMultilevel"/>
    <w:tmpl w:val="C23CEF42"/>
    <w:lvl w:ilvl="0" w:tplc="53D6A860">
      <w:numFmt w:val="bullet"/>
      <w:lvlText w:val="-"/>
      <w:lvlJc w:val="left"/>
      <w:pPr>
        <w:ind w:left="1429" w:hanging="360"/>
      </w:pPr>
      <w:rPr>
        <w:rFonts w:ascii="Tempus Sans ITC" w:eastAsia="Arial" w:hAnsi="Tempus Sans ITC" w:cs="Aria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25" w15:restartNumberingAfterBreak="0">
    <w:nsid w:val="59B35FAC"/>
    <w:multiLevelType w:val="hybridMultilevel"/>
    <w:tmpl w:val="14148416"/>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5FF3383B"/>
    <w:multiLevelType w:val="multilevel"/>
    <w:tmpl w:val="E83277C6"/>
    <w:lvl w:ilvl="0">
      <w:start w:val="6"/>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623B4E55"/>
    <w:multiLevelType w:val="hybridMultilevel"/>
    <w:tmpl w:val="BC8AA03A"/>
    <w:lvl w:ilvl="0" w:tplc="53D6A860">
      <w:numFmt w:val="bullet"/>
      <w:lvlText w:val="-"/>
      <w:lvlJc w:val="left"/>
      <w:pPr>
        <w:ind w:left="1428" w:hanging="360"/>
      </w:pPr>
      <w:rPr>
        <w:rFonts w:ascii="Tempus Sans ITC" w:eastAsia="Arial" w:hAnsi="Tempus Sans ITC" w:cs="Aria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28" w15:restartNumberingAfterBreak="0">
    <w:nsid w:val="624B25D8"/>
    <w:multiLevelType w:val="hybridMultilevel"/>
    <w:tmpl w:val="81DA1C98"/>
    <w:lvl w:ilvl="0" w:tplc="2B420106">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64DE6E97"/>
    <w:multiLevelType w:val="hybridMultilevel"/>
    <w:tmpl w:val="E3FCC6E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65C804A8"/>
    <w:multiLevelType w:val="hybridMultilevel"/>
    <w:tmpl w:val="B3CC3410"/>
    <w:lvl w:ilvl="0" w:tplc="53D6A860">
      <w:numFmt w:val="bullet"/>
      <w:lvlText w:val="-"/>
      <w:lvlJc w:val="left"/>
      <w:pPr>
        <w:ind w:left="1854" w:hanging="360"/>
      </w:pPr>
      <w:rPr>
        <w:rFonts w:ascii="Tempus Sans ITC" w:eastAsia="Arial" w:hAnsi="Tempus Sans ITC" w:cs="Arial" w:hint="default"/>
      </w:rPr>
    </w:lvl>
    <w:lvl w:ilvl="1" w:tplc="240A0003" w:tentative="1">
      <w:start w:val="1"/>
      <w:numFmt w:val="bullet"/>
      <w:lvlText w:val="o"/>
      <w:lvlJc w:val="left"/>
      <w:pPr>
        <w:ind w:left="2574" w:hanging="360"/>
      </w:pPr>
      <w:rPr>
        <w:rFonts w:ascii="Courier New" w:hAnsi="Courier New" w:cs="Courier New" w:hint="default"/>
      </w:rPr>
    </w:lvl>
    <w:lvl w:ilvl="2" w:tplc="240A0005" w:tentative="1">
      <w:start w:val="1"/>
      <w:numFmt w:val="bullet"/>
      <w:lvlText w:val=""/>
      <w:lvlJc w:val="left"/>
      <w:pPr>
        <w:ind w:left="3294" w:hanging="360"/>
      </w:pPr>
      <w:rPr>
        <w:rFonts w:ascii="Wingdings" w:hAnsi="Wingdings" w:hint="default"/>
      </w:rPr>
    </w:lvl>
    <w:lvl w:ilvl="3" w:tplc="240A0001" w:tentative="1">
      <w:start w:val="1"/>
      <w:numFmt w:val="bullet"/>
      <w:lvlText w:val=""/>
      <w:lvlJc w:val="left"/>
      <w:pPr>
        <w:ind w:left="4014" w:hanging="360"/>
      </w:pPr>
      <w:rPr>
        <w:rFonts w:ascii="Symbol" w:hAnsi="Symbol" w:hint="default"/>
      </w:rPr>
    </w:lvl>
    <w:lvl w:ilvl="4" w:tplc="240A0003" w:tentative="1">
      <w:start w:val="1"/>
      <w:numFmt w:val="bullet"/>
      <w:lvlText w:val="o"/>
      <w:lvlJc w:val="left"/>
      <w:pPr>
        <w:ind w:left="4734" w:hanging="360"/>
      </w:pPr>
      <w:rPr>
        <w:rFonts w:ascii="Courier New" w:hAnsi="Courier New" w:cs="Courier New" w:hint="default"/>
      </w:rPr>
    </w:lvl>
    <w:lvl w:ilvl="5" w:tplc="240A0005" w:tentative="1">
      <w:start w:val="1"/>
      <w:numFmt w:val="bullet"/>
      <w:lvlText w:val=""/>
      <w:lvlJc w:val="left"/>
      <w:pPr>
        <w:ind w:left="5454" w:hanging="360"/>
      </w:pPr>
      <w:rPr>
        <w:rFonts w:ascii="Wingdings" w:hAnsi="Wingdings" w:hint="default"/>
      </w:rPr>
    </w:lvl>
    <w:lvl w:ilvl="6" w:tplc="240A0001" w:tentative="1">
      <w:start w:val="1"/>
      <w:numFmt w:val="bullet"/>
      <w:lvlText w:val=""/>
      <w:lvlJc w:val="left"/>
      <w:pPr>
        <w:ind w:left="6174" w:hanging="360"/>
      </w:pPr>
      <w:rPr>
        <w:rFonts w:ascii="Symbol" w:hAnsi="Symbol" w:hint="default"/>
      </w:rPr>
    </w:lvl>
    <w:lvl w:ilvl="7" w:tplc="240A0003" w:tentative="1">
      <w:start w:val="1"/>
      <w:numFmt w:val="bullet"/>
      <w:lvlText w:val="o"/>
      <w:lvlJc w:val="left"/>
      <w:pPr>
        <w:ind w:left="6894" w:hanging="360"/>
      </w:pPr>
      <w:rPr>
        <w:rFonts w:ascii="Courier New" w:hAnsi="Courier New" w:cs="Courier New" w:hint="default"/>
      </w:rPr>
    </w:lvl>
    <w:lvl w:ilvl="8" w:tplc="240A0005" w:tentative="1">
      <w:start w:val="1"/>
      <w:numFmt w:val="bullet"/>
      <w:lvlText w:val=""/>
      <w:lvlJc w:val="left"/>
      <w:pPr>
        <w:ind w:left="7614" w:hanging="360"/>
      </w:pPr>
      <w:rPr>
        <w:rFonts w:ascii="Wingdings" w:hAnsi="Wingdings" w:hint="default"/>
      </w:rPr>
    </w:lvl>
  </w:abstractNum>
  <w:abstractNum w:abstractNumId="31" w15:restartNumberingAfterBreak="0">
    <w:nsid w:val="66B61A12"/>
    <w:multiLevelType w:val="multilevel"/>
    <w:tmpl w:val="9FE485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8363CA7"/>
    <w:multiLevelType w:val="hybridMultilevel"/>
    <w:tmpl w:val="44A272D0"/>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3" w15:restartNumberingAfterBreak="0">
    <w:nsid w:val="72BD15B3"/>
    <w:multiLevelType w:val="hybridMultilevel"/>
    <w:tmpl w:val="17EE4EF8"/>
    <w:lvl w:ilvl="0" w:tplc="240A0019">
      <w:start w:val="1"/>
      <w:numFmt w:val="lowerLetter"/>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4" w15:restartNumberingAfterBreak="0">
    <w:nsid w:val="72D12C52"/>
    <w:multiLevelType w:val="hybridMultilevel"/>
    <w:tmpl w:val="FFFFFFFF"/>
    <w:lvl w:ilvl="0" w:tplc="7AFC9E1A">
      <w:start w:val="1"/>
      <w:numFmt w:val="bullet"/>
      <w:lvlText w:val=""/>
      <w:lvlJc w:val="left"/>
      <w:pPr>
        <w:ind w:left="720" w:hanging="360"/>
      </w:pPr>
      <w:rPr>
        <w:rFonts w:ascii="Symbol" w:hAnsi="Symbol" w:hint="default"/>
      </w:rPr>
    </w:lvl>
    <w:lvl w:ilvl="1" w:tplc="DEA298A2">
      <w:start w:val="1"/>
      <w:numFmt w:val="bullet"/>
      <w:lvlText w:val="o"/>
      <w:lvlJc w:val="left"/>
      <w:pPr>
        <w:ind w:left="1440" w:hanging="360"/>
      </w:pPr>
      <w:rPr>
        <w:rFonts w:ascii="Courier New" w:hAnsi="Courier New" w:cs="Times New Roman" w:hint="default"/>
      </w:rPr>
    </w:lvl>
    <w:lvl w:ilvl="2" w:tplc="F6A4AB78">
      <w:start w:val="1"/>
      <w:numFmt w:val="bullet"/>
      <w:lvlText w:val=""/>
      <w:lvlJc w:val="left"/>
      <w:pPr>
        <w:ind w:left="2160" w:hanging="360"/>
      </w:pPr>
      <w:rPr>
        <w:rFonts w:ascii="Wingdings" w:hAnsi="Wingdings" w:hint="default"/>
      </w:rPr>
    </w:lvl>
    <w:lvl w:ilvl="3" w:tplc="AF04B32E">
      <w:start w:val="1"/>
      <w:numFmt w:val="bullet"/>
      <w:lvlText w:val=""/>
      <w:lvlJc w:val="left"/>
      <w:pPr>
        <w:ind w:left="2880" w:hanging="360"/>
      </w:pPr>
      <w:rPr>
        <w:rFonts w:ascii="Symbol" w:hAnsi="Symbol" w:hint="default"/>
      </w:rPr>
    </w:lvl>
    <w:lvl w:ilvl="4" w:tplc="89F62EA4">
      <w:start w:val="1"/>
      <w:numFmt w:val="bullet"/>
      <w:lvlText w:val="o"/>
      <w:lvlJc w:val="left"/>
      <w:pPr>
        <w:ind w:left="3600" w:hanging="360"/>
      </w:pPr>
      <w:rPr>
        <w:rFonts w:ascii="Courier New" w:hAnsi="Courier New" w:cs="Times New Roman" w:hint="default"/>
      </w:rPr>
    </w:lvl>
    <w:lvl w:ilvl="5" w:tplc="B3E62E3C">
      <w:start w:val="1"/>
      <w:numFmt w:val="bullet"/>
      <w:lvlText w:val=""/>
      <w:lvlJc w:val="left"/>
      <w:pPr>
        <w:ind w:left="4320" w:hanging="360"/>
      </w:pPr>
      <w:rPr>
        <w:rFonts w:ascii="Wingdings" w:hAnsi="Wingdings" w:hint="default"/>
      </w:rPr>
    </w:lvl>
    <w:lvl w:ilvl="6" w:tplc="02D88726">
      <w:start w:val="1"/>
      <w:numFmt w:val="bullet"/>
      <w:lvlText w:val=""/>
      <w:lvlJc w:val="left"/>
      <w:pPr>
        <w:ind w:left="5040" w:hanging="360"/>
      </w:pPr>
      <w:rPr>
        <w:rFonts w:ascii="Symbol" w:hAnsi="Symbol" w:hint="default"/>
      </w:rPr>
    </w:lvl>
    <w:lvl w:ilvl="7" w:tplc="3EA0E646">
      <w:start w:val="1"/>
      <w:numFmt w:val="bullet"/>
      <w:lvlText w:val="o"/>
      <w:lvlJc w:val="left"/>
      <w:pPr>
        <w:ind w:left="5760" w:hanging="360"/>
      </w:pPr>
      <w:rPr>
        <w:rFonts w:ascii="Courier New" w:hAnsi="Courier New" w:cs="Times New Roman" w:hint="default"/>
      </w:rPr>
    </w:lvl>
    <w:lvl w:ilvl="8" w:tplc="C6404210">
      <w:start w:val="1"/>
      <w:numFmt w:val="bullet"/>
      <w:lvlText w:val=""/>
      <w:lvlJc w:val="left"/>
      <w:pPr>
        <w:ind w:left="6480" w:hanging="360"/>
      </w:pPr>
      <w:rPr>
        <w:rFonts w:ascii="Wingdings" w:hAnsi="Wingdings" w:hint="default"/>
      </w:rPr>
    </w:lvl>
  </w:abstractNum>
  <w:abstractNum w:abstractNumId="35" w15:restartNumberingAfterBreak="0">
    <w:nsid w:val="74A06018"/>
    <w:multiLevelType w:val="hybridMultilevel"/>
    <w:tmpl w:val="1E8C4AB4"/>
    <w:lvl w:ilvl="0" w:tplc="240A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6" w15:restartNumberingAfterBreak="0">
    <w:nsid w:val="7DDCDC7B"/>
    <w:multiLevelType w:val="hybridMultilevel"/>
    <w:tmpl w:val="FFFFFFFF"/>
    <w:lvl w:ilvl="0" w:tplc="C91E1F62">
      <w:start w:val="1"/>
      <w:numFmt w:val="bullet"/>
      <w:lvlText w:val=""/>
      <w:lvlJc w:val="left"/>
      <w:pPr>
        <w:ind w:left="720" w:hanging="360"/>
      </w:pPr>
      <w:rPr>
        <w:rFonts w:ascii="Symbol" w:hAnsi="Symbol" w:hint="default"/>
      </w:rPr>
    </w:lvl>
    <w:lvl w:ilvl="1" w:tplc="584262C4">
      <w:start w:val="1"/>
      <w:numFmt w:val="bullet"/>
      <w:lvlText w:val="o"/>
      <w:lvlJc w:val="left"/>
      <w:pPr>
        <w:ind w:left="1440" w:hanging="360"/>
      </w:pPr>
      <w:rPr>
        <w:rFonts w:ascii="Courier New" w:hAnsi="Courier New" w:cs="Times New Roman" w:hint="default"/>
      </w:rPr>
    </w:lvl>
    <w:lvl w:ilvl="2" w:tplc="7F069E64">
      <w:start w:val="1"/>
      <w:numFmt w:val="bullet"/>
      <w:lvlText w:val=""/>
      <w:lvlJc w:val="left"/>
      <w:pPr>
        <w:ind w:left="2160" w:hanging="360"/>
      </w:pPr>
      <w:rPr>
        <w:rFonts w:ascii="Wingdings" w:hAnsi="Wingdings" w:hint="default"/>
      </w:rPr>
    </w:lvl>
    <w:lvl w:ilvl="3" w:tplc="0EBA7360">
      <w:start w:val="1"/>
      <w:numFmt w:val="bullet"/>
      <w:lvlText w:val=""/>
      <w:lvlJc w:val="left"/>
      <w:pPr>
        <w:ind w:left="2880" w:hanging="360"/>
      </w:pPr>
      <w:rPr>
        <w:rFonts w:ascii="Symbol" w:hAnsi="Symbol" w:hint="default"/>
      </w:rPr>
    </w:lvl>
    <w:lvl w:ilvl="4" w:tplc="A178F7EA">
      <w:start w:val="1"/>
      <w:numFmt w:val="bullet"/>
      <w:lvlText w:val="o"/>
      <w:lvlJc w:val="left"/>
      <w:pPr>
        <w:ind w:left="3600" w:hanging="360"/>
      </w:pPr>
      <w:rPr>
        <w:rFonts w:ascii="Courier New" w:hAnsi="Courier New" w:cs="Times New Roman" w:hint="default"/>
      </w:rPr>
    </w:lvl>
    <w:lvl w:ilvl="5" w:tplc="7AB4B132">
      <w:start w:val="1"/>
      <w:numFmt w:val="bullet"/>
      <w:lvlText w:val=""/>
      <w:lvlJc w:val="left"/>
      <w:pPr>
        <w:ind w:left="4320" w:hanging="360"/>
      </w:pPr>
      <w:rPr>
        <w:rFonts w:ascii="Wingdings" w:hAnsi="Wingdings" w:hint="default"/>
      </w:rPr>
    </w:lvl>
    <w:lvl w:ilvl="6" w:tplc="70944824">
      <w:start w:val="1"/>
      <w:numFmt w:val="bullet"/>
      <w:lvlText w:val=""/>
      <w:lvlJc w:val="left"/>
      <w:pPr>
        <w:ind w:left="5040" w:hanging="360"/>
      </w:pPr>
      <w:rPr>
        <w:rFonts w:ascii="Symbol" w:hAnsi="Symbol" w:hint="default"/>
      </w:rPr>
    </w:lvl>
    <w:lvl w:ilvl="7" w:tplc="EFB8FA02">
      <w:start w:val="1"/>
      <w:numFmt w:val="bullet"/>
      <w:lvlText w:val="o"/>
      <w:lvlJc w:val="left"/>
      <w:pPr>
        <w:ind w:left="5760" w:hanging="360"/>
      </w:pPr>
      <w:rPr>
        <w:rFonts w:ascii="Courier New" w:hAnsi="Courier New" w:cs="Times New Roman" w:hint="default"/>
      </w:rPr>
    </w:lvl>
    <w:lvl w:ilvl="8" w:tplc="C5CA5FFA">
      <w:start w:val="1"/>
      <w:numFmt w:val="bullet"/>
      <w:lvlText w:val=""/>
      <w:lvlJc w:val="left"/>
      <w:pPr>
        <w:ind w:left="6480" w:hanging="360"/>
      </w:pPr>
      <w:rPr>
        <w:rFonts w:ascii="Wingdings" w:hAnsi="Wingdings" w:hint="default"/>
      </w:rPr>
    </w:lvl>
  </w:abstractNum>
  <w:num w:numId="1" w16cid:durableId="1145394055">
    <w:abstractNumId w:val="2"/>
  </w:num>
  <w:num w:numId="2" w16cid:durableId="1192839907">
    <w:abstractNumId w:val="20"/>
  </w:num>
  <w:num w:numId="3" w16cid:durableId="794759182">
    <w:abstractNumId w:val="22"/>
  </w:num>
  <w:num w:numId="4" w16cid:durableId="17850291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29701787">
    <w:abstractNumId w:val="13"/>
  </w:num>
  <w:num w:numId="6" w16cid:durableId="1165315420">
    <w:abstractNumId w:val="14"/>
  </w:num>
  <w:num w:numId="7" w16cid:durableId="776871951">
    <w:abstractNumId w:val="34"/>
  </w:num>
  <w:num w:numId="8" w16cid:durableId="1521241917">
    <w:abstractNumId w:val="15"/>
  </w:num>
  <w:num w:numId="9" w16cid:durableId="97853624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854201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6047108">
    <w:abstractNumId w:val="36"/>
  </w:num>
  <w:num w:numId="12" w16cid:durableId="1150752884">
    <w:abstractNumId w:val="26"/>
  </w:num>
  <w:num w:numId="13" w16cid:durableId="425002525">
    <w:abstractNumId w:val="31"/>
  </w:num>
  <w:num w:numId="14" w16cid:durableId="4499076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72257705">
    <w:abstractNumId w:val="5"/>
  </w:num>
  <w:num w:numId="16" w16cid:durableId="1474903889">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31482271">
    <w:abstractNumId w:val="6"/>
  </w:num>
  <w:num w:numId="18" w16cid:durableId="1293513001">
    <w:abstractNumId w:val="10"/>
  </w:num>
  <w:num w:numId="19" w16cid:durableId="1724213037">
    <w:abstractNumId w:val="28"/>
  </w:num>
  <w:num w:numId="20" w16cid:durableId="2053921749">
    <w:abstractNumId w:val="4"/>
  </w:num>
  <w:num w:numId="21" w16cid:durableId="1745568583">
    <w:abstractNumId w:val="3"/>
  </w:num>
  <w:num w:numId="22" w16cid:durableId="931933454">
    <w:abstractNumId w:val="24"/>
  </w:num>
  <w:num w:numId="23" w16cid:durableId="444227295">
    <w:abstractNumId w:val="18"/>
  </w:num>
  <w:num w:numId="24" w16cid:durableId="1814835609">
    <w:abstractNumId w:val="7"/>
  </w:num>
  <w:num w:numId="25" w16cid:durableId="1708600175">
    <w:abstractNumId w:val="25"/>
  </w:num>
  <w:num w:numId="26" w16cid:durableId="1294675666">
    <w:abstractNumId w:val="30"/>
  </w:num>
  <w:num w:numId="27" w16cid:durableId="263928619">
    <w:abstractNumId w:val="16"/>
  </w:num>
  <w:num w:numId="28" w16cid:durableId="8411611">
    <w:abstractNumId w:val="29"/>
  </w:num>
  <w:num w:numId="29" w16cid:durableId="386494253">
    <w:abstractNumId w:val="32"/>
  </w:num>
  <w:num w:numId="30" w16cid:durableId="219050922">
    <w:abstractNumId w:val="0"/>
  </w:num>
  <w:num w:numId="31" w16cid:durableId="1686902544">
    <w:abstractNumId w:val="27"/>
  </w:num>
  <w:num w:numId="32" w16cid:durableId="75592815">
    <w:abstractNumId w:val="1"/>
  </w:num>
  <w:num w:numId="33" w16cid:durableId="1953977422">
    <w:abstractNumId w:val="23"/>
  </w:num>
  <w:num w:numId="34" w16cid:durableId="1651790719">
    <w:abstractNumId w:val="17"/>
  </w:num>
  <w:num w:numId="35" w16cid:durableId="413935897">
    <w:abstractNumId w:val="9"/>
  </w:num>
  <w:num w:numId="36" w16cid:durableId="481506825">
    <w:abstractNumId w:val="19"/>
  </w:num>
  <w:num w:numId="37" w16cid:durableId="1166281575">
    <w:abstractNumId w:val="1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0EC"/>
    <w:rsid w:val="00075CA6"/>
    <w:rsid w:val="00412AC0"/>
    <w:rsid w:val="006A678A"/>
    <w:rsid w:val="006F4BC6"/>
    <w:rsid w:val="0085506B"/>
    <w:rsid w:val="00872FBD"/>
    <w:rsid w:val="008A4EEC"/>
    <w:rsid w:val="008C1D8A"/>
    <w:rsid w:val="00A12B7A"/>
    <w:rsid w:val="00A14E07"/>
    <w:rsid w:val="00A678A6"/>
    <w:rsid w:val="00D27FC5"/>
    <w:rsid w:val="00DD664F"/>
    <w:rsid w:val="00DE3C06"/>
    <w:rsid w:val="00E710EC"/>
    <w:rsid w:val="00E842E7"/>
    <w:rsid w:val="00EA29C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CA2F3"/>
  <w15:chartTrackingRefBased/>
  <w15:docId w15:val="{24D35697-0418-3D42-A370-96851530B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710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E710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E710E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unhideWhenUsed/>
    <w:qFormat/>
    <w:rsid w:val="00E710E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unhideWhenUsed/>
    <w:qFormat/>
    <w:rsid w:val="00E710E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unhideWhenUsed/>
    <w:qFormat/>
    <w:rsid w:val="00E710E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unhideWhenUsed/>
    <w:qFormat/>
    <w:rsid w:val="00E710E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unhideWhenUsed/>
    <w:qFormat/>
    <w:rsid w:val="00E710E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unhideWhenUsed/>
    <w:qFormat/>
    <w:rsid w:val="00E710E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710E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E710E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rsid w:val="00E710E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rsid w:val="00E710E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rsid w:val="00E710EC"/>
    <w:rPr>
      <w:rFonts w:eastAsiaTheme="majorEastAsia" w:cstheme="majorBidi"/>
      <w:color w:val="0F4761" w:themeColor="accent1" w:themeShade="BF"/>
    </w:rPr>
  </w:style>
  <w:style w:type="character" w:customStyle="1" w:styleId="Ttulo6Car">
    <w:name w:val="Título 6 Car"/>
    <w:basedOn w:val="Fuentedeprrafopredeter"/>
    <w:link w:val="Ttulo6"/>
    <w:uiPriority w:val="9"/>
    <w:rsid w:val="00E710EC"/>
    <w:rPr>
      <w:rFonts w:eastAsiaTheme="majorEastAsia" w:cstheme="majorBidi"/>
      <w:i/>
      <w:iCs/>
      <w:color w:val="595959" w:themeColor="text1" w:themeTint="A6"/>
    </w:rPr>
  </w:style>
  <w:style w:type="character" w:customStyle="1" w:styleId="Ttulo7Car">
    <w:name w:val="Título 7 Car"/>
    <w:basedOn w:val="Fuentedeprrafopredeter"/>
    <w:link w:val="Ttulo7"/>
    <w:uiPriority w:val="9"/>
    <w:rsid w:val="00E710EC"/>
    <w:rPr>
      <w:rFonts w:eastAsiaTheme="majorEastAsia" w:cstheme="majorBidi"/>
      <w:color w:val="595959" w:themeColor="text1" w:themeTint="A6"/>
    </w:rPr>
  </w:style>
  <w:style w:type="character" w:customStyle="1" w:styleId="Ttulo8Car">
    <w:name w:val="Título 8 Car"/>
    <w:basedOn w:val="Fuentedeprrafopredeter"/>
    <w:link w:val="Ttulo8"/>
    <w:uiPriority w:val="9"/>
    <w:rsid w:val="00E710EC"/>
    <w:rPr>
      <w:rFonts w:eastAsiaTheme="majorEastAsia" w:cstheme="majorBidi"/>
      <w:i/>
      <w:iCs/>
      <w:color w:val="272727" w:themeColor="text1" w:themeTint="D8"/>
    </w:rPr>
  </w:style>
  <w:style w:type="character" w:customStyle="1" w:styleId="Ttulo9Car">
    <w:name w:val="Título 9 Car"/>
    <w:basedOn w:val="Fuentedeprrafopredeter"/>
    <w:link w:val="Ttulo9"/>
    <w:uiPriority w:val="9"/>
    <w:rsid w:val="00E710EC"/>
    <w:rPr>
      <w:rFonts w:eastAsiaTheme="majorEastAsia" w:cstheme="majorBidi"/>
      <w:color w:val="272727" w:themeColor="text1" w:themeTint="D8"/>
    </w:rPr>
  </w:style>
  <w:style w:type="paragraph" w:styleId="Ttulo">
    <w:name w:val="Title"/>
    <w:basedOn w:val="Normal"/>
    <w:next w:val="Normal"/>
    <w:link w:val="TtuloCar"/>
    <w:uiPriority w:val="10"/>
    <w:qFormat/>
    <w:rsid w:val="00E710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710E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710E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710E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710EC"/>
    <w:pPr>
      <w:spacing w:before="160"/>
      <w:jc w:val="center"/>
    </w:pPr>
    <w:rPr>
      <w:i/>
      <w:iCs/>
      <w:color w:val="404040" w:themeColor="text1" w:themeTint="BF"/>
    </w:rPr>
  </w:style>
  <w:style w:type="character" w:customStyle="1" w:styleId="CitaCar">
    <w:name w:val="Cita Car"/>
    <w:basedOn w:val="Fuentedeprrafopredeter"/>
    <w:link w:val="Cita"/>
    <w:uiPriority w:val="29"/>
    <w:rsid w:val="00E710EC"/>
    <w:rPr>
      <w:i/>
      <w:iCs/>
      <w:color w:val="404040" w:themeColor="text1" w:themeTint="BF"/>
    </w:rPr>
  </w:style>
  <w:style w:type="paragraph" w:styleId="Prrafodelista">
    <w:name w:val="List Paragraph"/>
    <w:aliases w:val="List,titulo 3,Párrafo de lista1,Lista vistosa - Énfasis 11,Bullets,HOJA,Bolita,Guión,Párrafo de lista31,BOLA,Párrafo de lista21,BOLADEF,Titulo 8,Párrafo de lista5,Colorful List - Accent 11,Colorful List - Accent 12,Fluvial1,Ha,Titlu 3,l"/>
    <w:basedOn w:val="Normal"/>
    <w:link w:val="PrrafodelistaCar"/>
    <w:uiPriority w:val="34"/>
    <w:qFormat/>
    <w:rsid w:val="00E710EC"/>
    <w:pPr>
      <w:ind w:left="720"/>
      <w:contextualSpacing/>
    </w:pPr>
  </w:style>
  <w:style w:type="character" w:styleId="nfasisintenso">
    <w:name w:val="Intense Emphasis"/>
    <w:basedOn w:val="Fuentedeprrafopredeter"/>
    <w:uiPriority w:val="21"/>
    <w:qFormat/>
    <w:rsid w:val="00E710EC"/>
    <w:rPr>
      <w:i/>
      <w:iCs/>
      <w:color w:val="0F4761" w:themeColor="accent1" w:themeShade="BF"/>
    </w:rPr>
  </w:style>
  <w:style w:type="paragraph" w:styleId="Citadestacada">
    <w:name w:val="Intense Quote"/>
    <w:basedOn w:val="Normal"/>
    <w:next w:val="Normal"/>
    <w:link w:val="CitadestacadaCar"/>
    <w:uiPriority w:val="30"/>
    <w:qFormat/>
    <w:rsid w:val="00E710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710EC"/>
    <w:rPr>
      <w:i/>
      <w:iCs/>
      <w:color w:val="0F4761" w:themeColor="accent1" w:themeShade="BF"/>
    </w:rPr>
  </w:style>
  <w:style w:type="character" w:styleId="Referenciaintensa">
    <w:name w:val="Intense Reference"/>
    <w:basedOn w:val="Fuentedeprrafopredeter"/>
    <w:uiPriority w:val="32"/>
    <w:qFormat/>
    <w:rsid w:val="00E710EC"/>
    <w:rPr>
      <w:b/>
      <w:bCs/>
      <w:smallCaps/>
      <w:color w:val="0F4761" w:themeColor="accent1" w:themeShade="BF"/>
      <w:spacing w:val="5"/>
    </w:rPr>
  </w:style>
  <w:style w:type="paragraph" w:styleId="Encabezado">
    <w:name w:val="header"/>
    <w:basedOn w:val="Normal"/>
    <w:link w:val="EncabezadoCar"/>
    <w:uiPriority w:val="99"/>
    <w:unhideWhenUsed/>
    <w:rsid w:val="00E710E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710EC"/>
  </w:style>
  <w:style w:type="paragraph" w:styleId="Piedepgina">
    <w:name w:val="footer"/>
    <w:basedOn w:val="Normal"/>
    <w:link w:val="PiedepginaCar"/>
    <w:uiPriority w:val="99"/>
    <w:unhideWhenUsed/>
    <w:rsid w:val="00E710E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710EC"/>
  </w:style>
  <w:style w:type="character" w:customStyle="1" w:styleId="PrrafodelistaCar">
    <w:name w:val="Párrafo de lista Car"/>
    <w:aliases w:val="List Car,titulo 3 Car,Párrafo de lista1 Car,Lista vistosa - Énfasis 11 Car,Bullets Car,HOJA Car,Bolita Car,Guión Car,Párrafo de lista31 Car,BOLA Car,Párrafo de lista21 Car,BOLADEF Car,Titulo 8 Car,Párrafo de lista5 Car,Fluvial1 Car"/>
    <w:link w:val="Prrafodelista"/>
    <w:uiPriority w:val="34"/>
    <w:qFormat/>
    <w:locked/>
    <w:rsid w:val="00DE3C06"/>
  </w:style>
  <w:style w:type="character" w:styleId="Referenciasutil">
    <w:name w:val="Subtle Reference"/>
    <w:basedOn w:val="Fuentedeprrafopredeter"/>
    <w:uiPriority w:val="31"/>
    <w:qFormat/>
    <w:rsid w:val="00DE3C06"/>
    <w:rPr>
      <w:smallCaps/>
      <w:color w:val="5A5A5A"/>
    </w:rPr>
  </w:style>
  <w:style w:type="paragraph" w:styleId="Sinespaciado">
    <w:name w:val="No Spacing"/>
    <w:basedOn w:val="Normal"/>
    <w:uiPriority w:val="1"/>
    <w:qFormat/>
    <w:rsid w:val="00DE3C06"/>
    <w:pPr>
      <w:numPr>
        <w:ilvl w:val="1"/>
        <w:numId w:val="1"/>
      </w:numPr>
      <w:spacing w:before="160" w:after="80"/>
      <w:ind w:left="720"/>
      <w:contextualSpacing/>
      <w:outlineLvl w:val="2"/>
    </w:pPr>
    <w:rPr>
      <w:rFonts w:eastAsia="Nunito" w:cs="Nunito"/>
      <w:b/>
      <w:bCs/>
      <w:color w:val="0070C0"/>
      <w:kern w:val="0"/>
      <w:sz w:val="22"/>
      <w:szCs w:val="22"/>
      <w14:ligatures w14:val="none"/>
    </w:rPr>
  </w:style>
  <w:style w:type="character" w:styleId="Hipervnculo">
    <w:name w:val="Hyperlink"/>
    <w:basedOn w:val="Fuentedeprrafopredeter"/>
    <w:uiPriority w:val="99"/>
    <w:unhideWhenUsed/>
    <w:rsid w:val="00DE3C06"/>
    <w:rPr>
      <w:color w:val="467886"/>
      <w:u w:val="single"/>
    </w:rPr>
  </w:style>
  <w:style w:type="paragraph" w:styleId="TDC3">
    <w:name w:val="toc 3"/>
    <w:basedOn w:val="Normal"/>
    <w:next w:val="Normal"/>
    <w:uiPriority w:val="39"/>
    <w:unhideWhenUsed/>
    <w:rsid w:val="00DE3C06"/>
    <w:pPr>
      <w:spacing w:after="100"/>
      <w:ind w:left="440"/>
    </w:pPr>
    <w:rPr>
      <w:kern w:val="0"/>
      <w:lang w:val="es-ES"/>
      <w14:ligatures w14:val="none"/>
    </w:rPr>
  </w:style>
  <w:style w:type="paragraph" w:styleId="TDC5">
    <w:name w:val="toc 5"/>
    <w:basedOn w:val="Normal"/>
    <w:next w:val="Normal"/>
    <w:uiPriority w:val="39"/>
    <w:unhideWhenUsed/>
    <w:rsid w:val="00DE3C06"/>
    <w:pPr>
      <w:spacing w:after="100"/>
      <w:ind w:left="880"/>
    </w:pPr>
    <w:rPr>
      <w:kern w:val="0"/>
      <w:lang w:val="es-ES"/>
      <w14:ligatures w14:val="none"/>
    </w:rPr>
  </w:style>
  <w:style w:type="paragraph" w:customStyle="1" w:styleId="CONPESttulodocumento">
    <w:name w:val="CONPES título documento"/>
    <w:basedOn w:val="Normal"/>
    <w:uiPriority w:val="1"/>
    <w:qFormat/>
    <w:rsid w:val="00DE3C06"/>
    <w:pPr>
      <w:spacing w:after="0" w:line="240" w:lineRule="auto"/>
      <w:jc w:val="center"/>
    </w:pPr>
    <w:rPr>
      <w:rFonts w:eastAsiaTheme="minorEastAsia"/>
      <w:b/>
      <w:bCs/>
      <w:smallCaps/>
      <w:color w:val="404040" w:themeColor="text1" w:themeTint="BF"/>
      <w:kern w:val="0"/>
      <w:sz w:val="30"/>
      <w:szCs w:val="30"/>
      <w:lang w:val="es-ES" w:eastAsia="es-ES"/>
      <w14:ligatures w14:val="none"/>
    </w:rPr>
  </w:style>
  <w:style w:type="table" w:styleId="Tablaconcuadrcula">
    <w:name w:val="Table Grid"/>
    <w:basedOn w:val="Tablanormal"/>
    <w:uiPriority w:val="59"/>
    <w:rsid w:val="00DE3C06"/>
    <w:pPr>
      <w:spacing w:after="0" w:line="240" w:lineRule="auto"/>
    </w:pPr>
    <w:rPr>
      <w:kern w:val="0"/>
      <w:lang w:val="es-E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aconcuadrcula6concolores-nfasis3">
    <w:name w:val="Grid Table 6 Colorful Accent 3"/>
    <w:basedOn w:val="Tablanormal"/>
    <w:uiPriority w:val="51"/>
    <w:rsid w:val="00DE3C06"/>
    <w:pPr>
      <w:spacing w:after="0" w:line="240" w:lineRule="auto"/>
    </w:pPr>
    <w:rPr>
      <w:color w:val="124F1A" w:themeColor="accent3" w:themeShade="BF"/>
      <w:kern w:val="0"/>
      <w:lang w:val="es-ES"/>
      <w14:ligatures w14:val="none"/>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Tablaconcuadrcula7concolores-nfasis3">
    <w:name w:val="Grid Table 7 Colorful Accent 3"/>
    <w:basedOn w:val="Tablanormal"/>
    <w:uiPriority w:val="52"/>
    <w:rsid w:val="00DE3C06"/>
    <w:pPr>
      <w:spacing w:after="0" w:line="240" w:lineRule="auto"/>
    </w:pPr>
    <w:rPr>
      <w:color w:val="124F1A" w:themeColor="accent3" w:themeShade="BF"/>
      <w:kern w:val="0"/>
      <w:lang w:val="es-ES"/>
      <w14:ligatures w14:val="none"/>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character" w:styleId="nfasissutil">
    <w:name w:val="Subtle Emphasis"/>
    <w:basedOn w:val="Fuentedeprrafopredeter"/>
    <w:uiPriority w:val="19"/>
    <w:qFormat/>
    <w:rsid w:val="00DE3C06"/>
    <w:rPr>
      <w:i/>
      <w:iCs/>
    </w:rPr>
  </w:style>
  <w:style w:type="character" w:styleId="CdigoHTML">
    <w:name w:val="HTML Code"/>
    <w:basedOn w:val="Fuentedeprrafopredeter"/>
    <w:uiPriority w:val="99"/>
    <w:unhideWhenUsed/>
    <w:rsid w:val="00DE3C06"/>
    <w:rPr>
      <w:rFonts w:ascii="Consolas" w:hAnsi="Consolas"/>
      <w:sz w:val="20"/>
      <w:szCs w:val="20"/>
    </w:rPr>
  </w:style>
  <w:style w:type="paragraph" w:styleId="HTMLconformatoprevio">
    <w:name w:val="HTML Preformatted"/>
    <w:basedOn w:val="Normal"/>
    <w:link w:val="HTMLconformatoprevioCar"/>
    <w:uiPriority w:val="99"/>
    <w:unhideWhenUsed/>
    <w:rsid w:val="00DE3C06"/>
    <w:pPr>
      <w:spacing w:after="0" w:line="240" w:lineRule="auto"/>
    </w:pPr>
    <w:rPr>
      <w:rFonts w:ascii="Consolas" w:hAnsi="Consolas"/>
      <w:kern w:val="0"/>
      <w:sz w:val="20"/>
      <w:szCs w:val="20"/>
      <w:lang w:val="es-ES"/>
      <w14:ligatures w14:val="none"/>
    </w:rPr>
  </w:style>
  <w:style w:type="character" w:customStyle="1" w:styleId="HTMLconformatoprevioCar">
    <w:name w:val="HTML con formato previo Car"/>
    <w:basedOn w:val="Fuentedeprrafopredeter"/>
    <w:link w:val="HTMLconformatoprevio"/>
    <w:uiPriority w:val="99"/>
    <w:rsid w:val="00DE3C06"/>
    <w:rPr>
      <w:rFonts w:ascii="Consolas" w:hAnsi="Consolas"/>
      <w:kern w:val="0"/>
      <w:sz w:val="20"/>
      <w:szCs w:val="20"/>
      <w:lang w:val="es-ES"/>
      <w14:ligatures w14:val="none"/>
    </w:rPr>
  </w:style>
  <w:style w:type="paragraph" w:styleId="Textodeglobo">
    <w:name w:val="Balloon Text"/>
    <w:basedOn w:val="Normal"/>
    <w:link w:val="TextodegloboCar"/>
    <w:uiPriority w:val="99"/>
    <w:semiHidden/>
    <w:unhideWhenUsed/>
    <w:rsid w:val="00DE3C06"/>
    <w:pPr>
      <w:spacing w:after="0" w:line="240" w:lineRule="auto"/>
    </w:pPr>
    <w:rPr>
      <w:rFonts w:ascii="Segoe UI" w:hAnsi="Segoe UI" w:cs="Segoe UI"/>
      <w:kern w:val="0"/>
      <w:sz w:val="18"/>
      <w:szCs w:val="18"/>
      <w:lang w:val="es-ES"/>
      <w14:ligatures w14:val="none"/>
    </w:rPr>
  </w:style>
  <w:style w:type="character" w:customStyle="1" w:styleId="TextodegloboCar">
    <w:name w:val="Texto de globo Car"/>
    <w:basedOn w:val="Fuentedeprrafopredeter"/>
    <w:link w:val="Textodeglobo"/>
    <w:uiPriority w:val="99"/>
    <w:semiHidden/>
    <w:rsid w:val="00DE3C06"/>
    <w:rPr>
      <w:rFonts w:ascii="Segoe UI" w:hAnsi="Segoe UI" w:cs="Segoe UI"/>
      <w:kern w:val="0"/>
      <w:sz w:val="18"/>
      <w:szCs w:val="18"/>
      <w:lang w:val="es-ES"/>
      <w14:ligatures w14:val="none"/>
    </w:rPr>
  </w:style>
  <w:style w:type="paragraph" w:styleId="Revisin">
    <w:name w:val="Revision"/>
    <w:hidden/>
    <w:uiPriority w:val="99"/>
    <w:semiHidden/>
    <w:rsid w:val="00DE3C06"/>
    <w:pPr>
      <w:spacing w:after="0" w:line="240" w:lineRule="auto"/>
    </w:pPr>
    <w:rPr>
      <w:kern w:val="0"/>
      <w:lang w:val="es-ES"/>
      <w14:ligatures w14:val="none"/>
    </w:rPr>
  </w:style>
  <w:style w:type="paragraph" w:styleId="Textonotapie">
    <w:name w:val="footnote text"/>
    <w:aliases w:val="Footnote Reference1,Appel note de bas de p,4_G,Char Char,Ref. de nota al pie.,Char Char2,Car,Char3,fn,texto de nota al pie,Texto nota pie Car Car,texto de nota al pie Car Car,ft Car Car Car,ft,ADB,Nota a pie/Bibliog,C,Car C,FA Fu"/>
    <w:basedOn w:val="Normal"/>
    <w:link w:val="TextonotapieCar"/>
    <w:uiPriority w:val="99"/>
    <w:semiHidden/>
    <w:unhideWhenUsed/>
    <w:qFormat/>
    <w:rsid w:val="00DE3C06"/>
    <w:pPr>
      <w:spacing w:after="0" w:line="240" w:lineRule="auto"/>
    </w:pPr>
    <w:rPr>
      <w:kern w:val="0"/>
      <w:sz w:val="20"/>
      <w:szCs w:val="20"/>
      <w:lang w:val="es-ES"/>
      <w14:ligatures w14:val="none"/>
    </w:rPr>
  </w:style>
  <w:style w:type="character" w:customStyle="1" w:styleId="TextonotapieCar">
    <w:name w:val="Texto nota pie Car"/>
    <w:aliases w:val="Footnote Reference1 Car,Appel note de bas de p Car,4_G Car,Char Char Car,Ref. de nota al pie. Car,Char Char2 Car,Car Car,Char3 Car,fn Car,texto de nota al pie Car,Texto nota pie Car Car Car,texto de nota al pie Car Car Car,ft Car"/>
    <w:basedOn w:val="Fuentedeprrafopredeter"/>
    <w:link w:val="Textonotapie"/>
    <w:uiPriority w:val="99"/>
    <w:semiHidden/>
    <w:qFormat/>
    <w:rsid w:val="00DE3C06"/>
    <w:rPr>
      <w:kern w:val="0"/>
      <w:sz w:val="20"/>
      <w:szCs w:val="20"/>
      <w:lang w:val="es-ES"/>
      <w14:ligatures w14:val="none"/>
    </w:rPr>
  </w:style>
  <w:style w:type="character" w:styleId="Refdenotaalpie">
    <w:name w:val="footnote reference"/>
    <w:aliases w:val="ftref,referencia nota al pie,Nota a pie,Ref. de nota al pie 2,Footnote symbol,Footnote,Char Car Car Car Ca,Texto de nota al pie,BVI fnr,Texto nota al pie,Appel note de bas de page,Ref. de nota al pie2,Nota de pie,Ref,de nota al pie,f"/>
    <w:basedOn w:val="Fuentedeprrafopredeter"/>
    <w:link w:val="Char2"/>
    <w:uiPriority w:val="99"/>
    <w:unhideWhenUsed/>
    <w:qFormat/>
    <w:rsid w:val="00DE3C06"/>
    <w:rPr>
      <w:vertAlign w:val="superscript"/>
    </w:rPr>
  </w:style>
  <w:style w:type="paragraph" w:customStyle="1" w:styleId="Char2">
    <w:name w:val="Char2"/>
    <w:basedOn w:val="Normal"/>
    <w:link w:val="Refdenotaalpie"/>
    <w:uiPriority w:val="99"/>
    <w:qFormat/>
    <w:rsid w:val="00DE3C06"/>
    <w:pPr>
      <w:spacing w:line="256" w:lineRule="auto"/>
      <w:jc w:val="center"/>
    </w:pPr>
    <w:rPr>
      <w:vertAlign w:val="superscript"/>
    </w:rPr>
  </w:style>
  <w:style w:type="character" w:customStyle="1" w:styleId="DescripcinCar">
    <w:name w:val="Descripción Car"/>
    <w:aliases w:val="Tablas Car"/>
    <w:basedOn w:val="Fuentedeprrafopredeter"/>
    <w:link w:val="Descripcin"/>
    <w:uiPriority w:val="35"/>
    <w:locked/>
    <w:rsid w:val="00DE3C06"/>
    <w:rPr>
      <w:rFonts w:ascii="Arial" w:eastAsia="Times New Roman" w:hAnsi="Arial" w:cs="Arial"/>
      <w:b/>
      <w:bCs/>
      <w:sz w:val="20"/>
      <w:szCs w:val="20"/>
      <w:lang w:eastAsia="es-CO"/>
    </w:rPr>
  </w:style>
  <w:style w:type="paragraph" w:styleId="Descripcin">
    <w:name w:val="caption"/>
    <w:aliases w:val="Tablas"/>
    <w:basedOn w:val="Normal"/>
    <w:next w:val="Normal"/>
    <w:link w:val="DescripcinCar"/>
    <w:uiPriority w:val="35"/>
    <w:unhideWhenUsed/>
    <w:qFormat/>
    <w:rsid w:val="00DE3C06"/>
    <w:pPr>
      <w:keepNext/>
      <w:spacing w:after="0" w:line="256" w:lineRule="auto"/>
      <w:jc w:val="center"/>
    </w:pPr>
    <w:rPr>
      <w:rFonts w:ascii="Arial" w:eastAsia="Times New Roman" w:hAnsi="Arial" w:cs="Arial"/>
      <w:b/>
      <w:bCs/>
      <w:sz w:val="20"/>
      <w:szCs w:val="20"/>
      <w:lang w:eastAsia="es-CO"/>
    </w:rPr>
  </w:style>
  <w:style w:type="paragraph" w:styleId="Textoindependiente">
    <w:name w:val="Body Text"/>
    <w:basedOn w:val="Normal"/>
    <w:link w:val="TextoindependienteCar"/>
    <w:uiPriority w:val="1"/>
    <w:semiHidden/>
    <w:unhideWhenUsed/>
    <w:qFormat/>
    <w:rsid w:val="00DE3C06"/>
    <w:pPr>
      <w:widowControl w:val="0"/>
      <w:spacing w:after="0" w:line="256" w:lineRule="auto"/>
      <w:jc w:val="both"/>
    </w:pPr>
    <w:rPr>
      <w:rFonts w:ascii="Calibri" w:eastAsia="Calibri" w:hAnsi="Calibri" w:cs="Calibri"/>
      <w:sz w:val="22"/>
      <w:szCs w:val="22"/>
      <w:lang w:val="es-ES"/>
    </w:rPr>
  </w:style>
  <w:style w:type="character" w:customStyle="1" w:styleId="TextoindependienteCar">
    <w:name w:val="Texto independiente Car"/>
    <w:basedOn w:val="Fuentedeprrafopredeter"/>
    <w:link w:val="Textoindependiente"/>
    <w:uiPriority w:val="1"/>
    <w:semiHidden/>
    <w:rsid w:val="00DE3C06"/>
    <w:rPr>
      <w:rFonts w:ascii="Calibri" w:eastAsia="Calibri" w:hAnsi="Calibri" w:cs="Calibri"/>
      <w:sz w:val="22"/>
      <w:szCs w:val="22"/>
      <w:lang w:val="es-ES"/>
    </w:rPr>
  </w:style>
  <w:style w:type="table" w:styleId="Tablaconcuadrcula1clara">
    <w:name w:val="Grid Table 1 Light"/>
    <w:basedOn w:val="Tablanormal"/>
    <w:uiPriority w:val="46"/>
    <w:rsid w:val="00DE3C06"/>
    <w:pPr>
      <w:spacing w:after="0" w:line="240" w:lineRule="auto"/>
    </w:pPr>
    <w:rPr>
      <w:rFonts w:ascii="Arial Narrow" w:eastAsia="Arial Narrow" w:hAnsi="Arial Narrow" w:cs="Arial Narrow"/>
      <w:sz w:val="18"/>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left w:w="28" w:type="dxa"/>
        <w:right w:w="28" w:type="dxa"/>
      </w:tblCellMar>
    </w:tblPr>
    <w:tcPr>
      <w:vAlign w:val="center"/>
    </w:tcPr>
    <w:tblStylePr w:type="firstRow">
      <w:rPr>
        <w:b/>
        <w:bCs/>
      </w:rPr>
      <w:tblPr/>
      <w:tcPr>
        <w:shd w:val="clear" w:color="auto" w:fill="C1E4F5" w:themeFill="accent1" w:themeFillTint="33"/>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concuadrcula4-nfasis6">
    <w:name w:val="Grid Table 4 Accent 6"/>
    <w:basedOn w:val="Tablanormal"/>
    <w:uiPriority w:val="49"/>
    <w:rsid w:val="00DE3C06"/>
    <w:pPr>
      <w:spacing w:after="0" w:line="240" w:lineRule="auto"/>
    </w:pPr>
    <w:rPr>
      <w:kern w:val="0"/>
      <w:lang w:val="es-ES"/>
      <w14:ligatures w14:val="none"/>
    </w:rPr>
    <w:tblPr>
      <w:tblStyleRowBandSize w:val="1"/>
      <w:tblStyleColBandSize w:val="1"/>
      <w:tblInd w:w="0" w:type="nil"/>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character" w:styleId="Textoennegrita">
    <w:name w:val="Strong"/>
    <w:basedOn w:val="Fuentedeprrafopredeter"/>
    <w:uiPriority w:val="22"/>
    <w:qFormat/>
    <w:rsid w:val="00DE3C06"/>
    <w:rPr>
      <w:b/>
      <w:bCs/>
    </w:rPr>
  </w:style>
  <w:style w:type="paragraph" w:styleId="TtuloTDC">
    <w:name w:val="TOC Heading"/>
    <w:basedOn w:val="Ttulo1"/>
    <w:next w:val="Normal"/>
    <w:uiPriority w:val="39"/>
    <w:unhideWhenUsed/>
    <w:qFormat/>
    <w:rsid w:val="00DE3C06"/>
    <w:pPr>
      <w:spacing w:before="240" w:after="0" w:line="259" w:lineRule="auto"/>
      <w:outlineLvl w:val="9"/>
    </w:pPr>
    <w:rPr>
      <w:kern w:val="0"/>
      <w:sz w:val="32"/>
      <w:szCs w:val="32"/>
      <w:lang w:eastAsia="es-CO"/>
      <w14:ligatures w14:val="none"/>
    </w:rPr>
  </w:style>
  <w:style w:type="paragraph" w:styleId="TDC1">
    <w:name w:val="toc 1"/>
    <w:basedOn w:val="Normal"/>
    <w:next w:val="Normal"/>
    <w:autoRedefine/>
    <w:uiPriority w:val="39"/>
    <w:unhideWhenUsed/>
    <w:rsid w:val="00DE3C06"/>
    <w:pPr>
      <w:spacing w:after="100"/>
    </w:pPr>
    <w:rPr>
      <w:kern w:val="0"/>
      <w:lang w:val="es-ES"/>
      <w14:ligatures w14:val="none"/>
    </w:rPr>
  </w:style>
  <w:style w:type="paragraph" w:styleId="TDC2">
    <w:name w:val="toc 2"/>
    <w:basedOn w:val="Normal"/>
    <w:next w:val="Normal"/>
    <w:autoRedefine/>
    <w:uiPriority w:val="39"/>
    <w:unhideWhenUsed/>
    <w:rsid w:val="00DE3C06"/>
    <w:pPr>
      <w:spacing w:after="100" w:line="259" w:lineRule="auto"/>
      <w:ind w:left="220"/>
    </w:pPr>
    <w:rPr>
      <w:rFonts w:eastAsiaTheme="minorEastAsia" w:cs="Times New Roman"/>
      <w:kern w:val="0"/>
      <w:sz w:val="22"/>
      <w:szCs w:val="22"/>
      <w:lang w:eastAsia="es-CO"/>
      <w14:ligatures w14:val="none"/>
    </w:rPr>
  </w:style>
  <w:style w:type="character" w:customStyle="1" w:styleId="Mencinsinresolver1">
    <w:name w:val="Mención sin resolver1"/>
    <w:basedOn w:val="Fuentedeprrafopredeter"/>
    <w:uiPriority w:val="99"/>
    <w:semiHidden/>
    <w:unhideWhenUsed/>
    <w:rsid w:val="00DE3C06"/>
    <w:rPr>
      <w:color w:val="605E5C"/>
      <w:shd w:val="clear" w:color="auto" w:fill="E1DFDD"/>
    </w:rPr>
  </w:style>
  <w:style w:type="paragraph" w:styleId="NormalWeb">
    <w:name w:val="Normal (Web)"/>
    <w:basedOn w:val="Normal"/>
    <w:uiPriority w:val="99"/>
    <w:unhideWhenUsed/>
    <w:rsid w:val="00DE3C06"/>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vkekvd">
    <w:name w:val="vkekvd"/>
    <w:basedOn w:val="Fuentedeprrafopredeter"/>
    <w:rsid w:val="00DE3C06"/>
  </w:style>
  <w:style w:type="character" w:customStyle="1" w:styleId="citation-110">
    <w:name w:val="citation-110"/>
    <w:basedOn w:val="Fuentedeprrafopredeter"/>
    <w:rsid w:val="00DE3C06"/>
  </w:style>
  <w:style w:type="character" w:customStyle="1" w:styleId="citation-109">
    <w:name w:val="citation-109"/>
    <w:basedOn w:val="Fuentedeprrafopredeter"/>
    <w:rsid w:val="00DE3C06"/>
  </w:style>
  <w:style w:type="character" w:customStyle="1" w:styleId="citation-108">
    <w:name w:val="citation-108"/>
    <w:basedOn w:val="Fuentedeprrafopredeter"/>
    <w:rsid w:val="00DE3C06"/>
  </w:style>
  <w:style w:type="character" w:customStyle="1" w:styleId="citation-107">
    <w:name w:val="citation-107"/>
    <w:basedOn w:val="Fuentedeprrafopredeter"/>
    <w:rsid w:val="00DE3C06"/>
  </w:style>
  <w:style w:type="character" w:customStyle="1" w:styleId="citation-106">
    <w:name w:val="citation-106"/>
    <w:basedOn w:val="Fuentedeprrafopredeter"/>
    <w:rsid w:val="00DE3C06"/>
  </w:style>
  <w:style w:type="character" w:customStyle="1" w:styleId="citation-105">
    <w:name w:val="citation-105"/>
    <w:basedOn w:val="Fuentedeprrafopredeter"/>
    <w:rsid w:val="00DE3C06"/>
  </w:style>
  <w:style w:type="character" w:customStyle="1" w:styleId="citation-104">
    <w:name w:val="citation-104"/>
    <w:basedOn w:val="Fuentedeprrafopredeter"/>
    <w:rsid w:val="00DE3C06"/>
  </w:style>
  <w:style w:type="character" w:customStyle="1" w:styleId="citation-103">
    <w:name w:val="citation-103"/>
    <w:basedOn w:val="Fuentedeprrafopredeter"/>
    <w:rsid w:val="00DE3C06"/>
  </w:style>
  <w:style w:type="character" w:customStyle="1" w:styleId="citation-102">
    <w:name w:val="citation-102"/>
    <w:basedOn w:val="Fuentedeprrafopredeter"/>
    <w:rsid w:val="00DE3C06"/>
  </w:style>
  <w:style w:type="character" w:customStyle="1" w:styleId="citation-101">
    <w:name w:val="citation-101"/>
    <w:basedOn w:val="Fuentedeprrafopredeter"/>
    <w:rsid w:val="00DE3C06"/>
  </w:style>
  <w:style w:type="character" w:customStyle="1" w:styleId="citation-100">
    <w:name w:val="citation-100"/>
    <w:basedOn w:val="Fuentedeprrafopredeter"/>
    <w:rsid w:val="00DE3C06"/>
  </w:style>
  <w:style w:type="character" w:customStyle="1" w:styleId="citation-99">
    <w:name w:val="citation-99"/>
    <w:basedOn w:val="Fuentedeprrafopredeter"/>
    <w:rsid w:val="00DE3C06"/>
  </w:style>
  <w:style w:type="character" w:customStyle="1" w:styleId="citation-98">
    <w:name w:val="citation-98"/>
    <w:basedOn w:val="Fuentedeprrafopredeter"/>
    <w:rsid w:val="00DE3C06"/>
  </w:style>
  <w:style w:type="character" w:customStyle="1" w:styleId="citation-97">
    <w:name w:val="citation-97"/>
    <w:basedOn w:val="Fuentedeprrafopredeter"/>
    <w:rsid w:val="00DE3C06"/>
  </w:style>
  <w:style w:type="character" w:customStyle="1" w:styleId="citation-96">
    <w:name w:val="citation-96"/>
    <w:basedOn w:val="Fuentedeprrafopredeter"/>
    <w:rsid w:val="00DE3C06"/>
  </w:style>
  <w:style w:type="character" w:customStyle="1" w:styleId="citation-33">
    <w:name w:val="citation-33"/>
    <w:basedOn w:val="Fuentedeprrafopredeter"/>
    <w:rsid w:val="00DE3C06"/>
  </w:style>
  <w:style w:type="character" w:customStyle="1" w:styleId="citation-135">
    <w:name w:val="citation-135"/>
    <w:basedOn w:val="Fuentedeprrafopredeter"/>
    <w:rsid w:val="00DE3C06"/>
  </w:style>
  <w:style w:type="character" w:customStyle="1" w:styleId="citation-134">
    <w:name w:val="citation-134"/>
    <w:basedOn w:val="Fuentedeprrafopredeter"/>
    <w:rsid w:val="00DE3C06"/>
  </w:style>
  <w:style w:type="character" w:customStyle="1" w:styleId="citation-133">
    <w:name w:val="citation-133"/>
    <w:basedOn w:val="Fuentedeprrafopredeter"/>
    <w:rsid w:val="00DE3C06"/>
  </w:style>
  <w:style w:type="character" w:customStyle="1" w:styleId="citation-132">
    <w:name w:val="citation-132"/>
    <w:basedOn w:val="Fuentedeprrafopredeter"/>
    <w:rsid w:val="00DE3C06"/>
  </w:style>
  <w:style w:type="character" w:customStyle="1" w:styleId="citation-131">
    <w:name w:val="citation-131"/>
    <w:basedOn w:val="Fuentedeprrafopredeter"/>
    <w:rsid w:val="00DE3C06"/>
  </w:style>
  <w:style w:type="character" w:customStyle="1" w:styleId="citation-130">
    <w:name w:val="citation-130"/>
    <w:basedOn w:val="Fuentedeprrafopredeter"/>
    <w:rsid w:val="00DE3C06"/>
  </w:style>
  <w:style w:type="character" w:customStyle="1" w:styleId="citation-129">
    <w:name w:val="citation-129"/>
    <w:basedOn w:val="Fuentedeprrafopredeter"/>
    <w:rsid w:val="00DE3C06"/>
  </w:style>
  <w:style w:type="character" w:customStyle="1" w:styleId="citation-128">
    <w:name w:val="citation-128"/>
    <w:basedOn w:val="Fuentedeprrafopredeter"/>
    <w:rsid w:val="00DE3C06"/>
  </w:style>
  <w:style w:type="table" w:customStyle="1" w:styleId="Tablaconcuadrcula6concolores-nfasis31">
    <w:name w:val="Tabla con cuadrícula 6 con colores - Énfasis 31"/>
    <w:basedOn w:val="Tablanormal"/>
    <w:next w:val="Tablaconcuadrcula6concolores-nfasis3"/>
    <w:uiPriority w:val="51"/>
    <w:rsid w:val="00DE3C06"/>
    <w:pPr>
      <w:spacing w:after="0" w:line="240" w:lineRule="auto"/>
    </w:pPr>
    <w:rPr>
      <w:color w:val="124F1A" w:themeColor="accent3" w:themeShade="BF"/>
      <w:kern w:val="0"/>
      <w:lang w:val="es-ES"/>
      <w14:ligatures w14:val="none"/>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customStyle="1" w:styleId="Tablaconcuadrcula6concolores-nfasis32">
    <w:name w:val="Tabla con cuadrícula 6 con colores - Énfasis 32"/>
    <w:basedOn w:val="Tablanormal"/>
    <w:next w:val="Tablaconcuadrcula6concolores-nfasis3"/>
    <w:uiPriority w:val="51"/>
    <w:rsid w:val="00DE3C06"/>
    <w:pPr>
      <w:spacing w:after="0" w:line="240" w:lineRule="auto"/>
    </w:pPr>
    <w:rPr>
      <w:color w:val="124F1A" w:themeColor="accent3" w:themeShade="BF"/>
      <w:kern w:val="0"/>
      <w:lang w:val="es-ES"/>
      <w14:ligatures w14:val="none"/>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paragraph" w:customStyle="1" w:styleId="CommentText">
    <w:name w:val="Comment Text"/>
    <w:basedOn w:val="Normal"/>
    <w:link w:val="CommentTextChar"/>
    <w:uiPriority w:val="99"/>
    <w:unhideWhenUsed/>
    <w:rsid w:val="00DE3C06"/>
    <w:pPr>
      <w:spacing w:line="240" w:lineRule="auto"/>
    </w:pPr>
    <w:rPr>
      <w:kern w:val="0"/>
      <w:sz w:val="20"/>
      <w:szCs w:val="20"/>
      <w:lang w:val="es-ES"/>
      <w14:ligatures w14:val="none"/>
    </w:rPr>
  </w:style>
  <w:style w:type="character" w:customStyle="1" w:styleId="CommentTextChar">
    <w:name w:val="Comment Text Char"/>
    <w:basedOn w:val="Fuentedeprrafopredeter"/>
    <w:link w:val="CommentText"/>
    <w:uiPriority w:val="99"/>
    <w:rsid w:val="00DE3C06"/>
    <w:rPr>
      <w:kern w:val="0"/>
      <w:sz w:val="20"/>
      <w:szCs w:val="20"/>
      <w:lang w:val="es-ES"/>
      <w14:ligatures w14:val="none"/>
    </w:rPr>
  </w:style>
  <w:style w:type="character" w:customStyle="1" w:styleId="CommentReference">
    <w:name w:val="Comment Reference"/>
    <w:basedOn w:val="Fuentedeprrafopredeter"/>
    <w:uiPriority w:val="99"/>
    <w:semiHidden/>
    <w:unhideWhenUsed/>
    <w:rsid w:val="00DE3C06"/>
    <w:rPr>
      <w:sz w:val="16"/>
      <w:szCs w:val="16"/>
    </w:rPr>
  </w:style>
  <w:style w:type="paragraph" w:customStyle="1" w:styleId="CommentSubject">
    <w:name w:val="Comment Subject"/>
    <w:basedOn w:val="CommentText"/>
    <w:next w:val="CommentText"/>
    <w:link w:val="CommentSubjectChar"/>
    <w:uiPriority w:val="99"/>
    <w:semiHidden/>
    <w:unhideWhenUsed/>
    <w:rsid w:val="00DE3C06"/>
    <w:rPr>
      <w:b/>
      <w:bCs/>
    </w:rPr>
  </w:style>
  <w:style w:type="character" w:customStyle="1" w:styleId="CommentSubjectChar">
    <w:name w:val="Comment Subject Char"/>
    <w:basedOn w:val="CommentTextChar"/>
    <w:link w:val="CommentSubject"/>
    <w:uiPriority w:val="99"/>
    <w:semiHidden/>
    <w:rsid w:val="00DE3C06"/>
    <w:rPr>
      <w:b/>
      <w:bCs/>
      <w:kern w:val="0"/>
      <w:sz w:val="20"/>
      <w:szCs w:val="20"/>
      <w:lang w:val="es-ES"/>
      <w14:ligatures w14:val="none"/>
    </w:rPr>
  </w:style>
  <w:style w:type="paragraph" w:styleId="Textocomentario">
    <w:name w:val="annotation text"/>
    <w:basedOn w:val="Normal"/>
    <w:link w:val="TextocomentarioCar"/>
    <w:uiPriority w:val="99"/>
    <w:unhideWhenUsed/>
    <w:rsid w:val="00DE3C06"/>
    <w:pPr>
      <w:spacing w:line="240" w:lineRule="auto"/>
    </w:pPr>
    <w:rPr>
      <w:kern w:val="0"/>
      <w:sz w:val="20"/>
      <w:szCs w:val="20"/>
      <w:lang w:val="es-ES"/>
      <w14:ligatures w14:val="none"/>
    </w:rPr>
  </w:style>
  <w:style w:type="character" w:customStyle="1" w:styleId="TextocomentarioCar">
    <w:name w:val="Texto comentario Car"/>
    <w:basedOn w:val="Fuentedeprrafopredeter"/>
    <w:link w:val="Textocomentario"/>
    <w:uiPriority w:val="99"/>
    <w:rsid w:val="00DE3C06"/>
    <w:rPr>
      <w:kern w:val="0"/>
      <w:sz w:val="20"/>
      <w:szCs w:val="20"/>
      <w:lang w:val="es-ES"/>
      <w14:ligatures w14:val="none"/>
    </w:rPr>
  </w:style>
  <w:style w:type="character" w:styleId="Hipervnculovisitado">
    <w:name w:val="FollowedHyperlink"/>
    <w:basedOn w:val="Fuentedeprrafopredeter"/>
    <w:uiPriority w:val="99"/>
    <w:semiHidden/>
    <w:unhideWhenUsed/>
    <w:rsid w:val="00DE3C06"/>
    <w:rPr>
      <w:color w:val="96607D" w:themeColor="followedHyperlink"/>
      <w:u w:val="single"/>
    </w:rPr>
  </w:style>
  <w:style w:type="character" w:styleId="nfasis">
    <w:name w:val="Emphasis"/>
    <w:basedOn w:val="Fuentedeprrafopredeter"/>
    <w:uiPriority w:val="20"/>
    <w:qFormat/>
    <w:rsid w:val="00DE3C06"/>
    <w:rPr>
      <w:i/>
      <w:iCs/>
    </w:rPr>
  </w:style>
  <w:style w:type="table" w:styleId="Tablaconcuadrculaclara">
    <w:name w:val="Grid Table Light"/>
    <w:basedOn w:val="Tablanormal"/>
    <w:uiPriority w:val="40"/>
    <w:rsid w:val="00DE3C06"/>
    <w:pPr>
      <w:spacing w:after="0" w:line="240" w:lineRule="auto"/>
    </w:pPr>
    <w:rPr>
      <w:kern w:val="0"/>
      <w:lang w:val="es-E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concuadrcula1Claro-nfasis2">
    <w:name w:val="Grid Table 1 Light Accent 2"/>
    <w:basedOn w:val="Tablanormal"/>
    <w:uiPriority w:val="46"/>
    <w:rsid w:val="00DE3C06"/>
    <w:pPr>
      <w:spacing w:after="0" w:line="240" w:lineRule="auto"/>
    </w:pPr>
    <w:rPr>
      <w:kern w:val="0"/>
      <w:lang w:val="es-ES"/>
      <w14:ligatures w14:val="none"/>
    </w:rPr>
    <w:tblPr>
      <w:tblStyleRowBandSize w:val="1"/>
      <w:tblStyleColBandSize w:val="1"/>
      <w:tblBorders>
        <w:top w:val="single" w:sz="4" w:space="0" w:color="FFC000"/>
        <w:left w:val="single" w:sz="4" w:space="0" w:color="FFC000"/>
        <w:bottom w:val="single" w:sz="4" w:space="0" w:color="FFC000"/>
        <w:right w:val="single" w:sz="4" w:space="0" w:color="FFC000"/>
        <w:insideH w:val="single" w:sz="4" w:space="0" w:color="FFC000"/>
        <w:insideV w:val="single" w:sz="4" w:space="0" w:color="FFC000"/>
      </w:tblBorders>
    </w:tblPr>
    <w:tcPr>
      <w:shd w:val="clear" w:color="auto" w:fill="auto"/>
    </w:tc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customStyle="1" w:styleId="Estilo1">
    <w:name w:val="Estilo1"/>
    <w:basedOn w:val="Tablanormal"/>
    <w:uiPriority w:val="99"/>
    <w:rsid w:val="00DE3C06"/>
    <w:pPr>
      <w:spacing w:after="0" w:line="240" w:lineRule="auto"/>
    </w:pPr>
    <w:rPr>
      <w:rFonts w:ascii="Verdana" w:hAnsi="Verdana"/>
      <w:kern w:val="0"/>
      <w:sz w:val="22"/>
      <w:lang w:val="es-ES"/>
      <w14:ligatures w14:val="none"/>
    </w:rPr>
    <w:tblPr/>
  </w:style>
  <w:style w:type="character" w:styleId="Refdecomentario">
    <w:name w:val="annotation reference"/>
    <w:basedOn w:val="Fuentedeprrafopredeter"/>
    <w:uiPriority w:val="99"/>
    <w:semiHidden/>
    <w:unhideWhenUsed/>
    <w:rsid w:val="00DE3C06"/>
    <w:rPr>
      <w:sz w:val="16"/>
      <w:szCs w:val="16"/>
    </w:rPr>
  </w:style>
  <w:style w:type="paragraph" w:styleId="Asuntodelcomentario">
    <w:name w:val="annotation subject"/>
    <w:basedOn w:val="Textocomentario"/>
    <w:next w:val="Textocomentario"/>
    <w:link w:val="AsuntodelcomentarioCar"/>
    <w:uiPriority w:val="99"/>
    <w:semiHidden/>
    <w:unhideWhenUsed/>
    <w:rsid w:val="00DE3C06"/>
    <w:rPr>
      <w:b/>
      <w:bCs/>
    </w:rPr>
  </w:style>
  <w:style w:type="character" w:customStyle="1" w:styleId="AsuntodelcomentarioCar">
    <w:name w:val="Asunto del comentario Car"/>
    <w:basedOn w:val="TextocomentarioCar"/>
    <w:link w:val="Asuntodelcomentario"/>
    <w:uiPriority w:val="99"/>
    <w:semiHidden/>
    <w:rsid w:val="00DE3C06"/>
    <w:rPr>
      <w:b/>
      <w:bCs/>
      <w:kern w:val="0"/>
      <w:sz w:val="20"/>
      <w:szCs w:val="20"/>
      <w:lang w:val="es-ES"/>
      <w14:ligatures w14:val="none"/>
    </w:rPr>
  </w:style>
  <w:style w:type="table" w:customStyle="1" w:styleId="Tablaconcuadrcula1clara1">
    <w:name w:val="Tabla con cuadrícula 1 clara1"/>
    <w:basedOn w:val="Tablanormal"/>
    <w:next w:val="Tablaconcuadrcula1clara"/>
    <w:uiPriority w:val="46"/>
    <w:rsid w:val="00DE3C06"/>
    <w:pPr>
      <w:spacing w:after="0" w:line="240" w:lineRule="auto"/>
    </w:pPr>
    <w:rPr>
      <w:rFonts w:ascii="Arial Narrow" w:eastAsia="Arial Narrow" w:hAnsi="Arial Narrow" w:cs="Arial Narrow"/>
      <w:sz w:val="18"/>
      <w:lang w:val="es-ES"/>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left w:w="28" w:type="dxa"/>
        <w:right w:w="28" w:type="dxa"/>
      </w:tblCellMar>
    </w:tblPr>
    <w:tcPr>
      <w:vAlign w:val="center"/>
    </w:tcPr>
    <w:tblStylePr w:type="firstRow">
      <w:rPr>
        <w:b/>
        <w:bCs/>
      </w:rPr>
      <w:tblPr/>
      <w:tcPr>
        <w:shd w:val="clear" w:color="auto" w:fill="C1E4F5" w:themeFill="accent1" w:themeFillTint="33"/>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concuadrcula6concolores-nfasis33">
    <w:name w:val="Tabla con cuadrícula 6 con colores - Énfasis 33"/>
    <w:basedOn w:val="Tablanormal"/>
    <w:next w:val="Tablaconcuadrcula6concolores-nfasis3"/>
    <w:uiPriority w:val="51"/>
    <w:rsid w:val="00DE3C06"/>
    <w:pPr>
      <w:spacing w:after="0" w:line="240" w:lineRule="auto"/>
    </w:pPr>
    <w:rPr>
      <w:rFonts w:ascii="Nunito" w:eastAsia="Nunito" w:hAnsi="Nunito" w:cs="Times New Roman"/>
      <w:color w:val="124F1A" w:themeColor="accent3" w:themeShade="BF"/>
      <w:kern w:val="0"/>
      <w:lang w:val="es-ES"/>
      <w14:ligatures w14:val="none"/>
    </w:rPr>
    <w:tblPr>
      <w:tblStyleRowBandSize w:val="1"/>
      <w:tblStyleColBandSize w:val="1"/>
      <w:tblInd w:w="0" w:type="nil"/>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customStyle="1" w:styleId="Tablaconcuadrcula6concolores-nfasis34">
    <w:name w:val="Tabla con cuadrícula 6 con colores - Énfasis 34"/>
    <w:basedOn w:val="Tablanormal"/>
    <w:next w:val="Tablaconcuadrcula6concolores-nfasis3"/>
    <w:uiPriority w:val="51"/>
    <w:rsid w:val="00DE3C06"/>
    <w:pPr>
      <w:spacing w:after="0" w:line="240" w:lineRule="auto"/>
    </w:pPr>
    <w:rPr>
      <w:rFonts w:ascii="Nunito" w:eastAsia="Nunito" w:hAnsi="Nunito" w:cs="Times New Roman"/>
      <w:color w:val="124F1A" w:themeColor="accent3" w:themeShade="BF"/>
      <w:kern w:val="0"/>
      <w:lang w:val="es-ES"/>
      <w14:ligatures w14:val="none"/>
    </w:rPr>
    <w:tblPr>
      <w:tblStyleRowBandSize w:val="1"/>
      <w:tblStyleColBandSize w:val="1"/>
      <w:tblInd w:w="0" w:type="nil"/>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customStyle="1" w:styleId="Tablaconcuadrcula7concolores-nfasis31">
    <w:name w:val="Tabla con cuadrícula 7 con colores - Énfasis 31"/>
    <w:basedOn w:val="Tablanormal"/>
    <w:next w:val="Tablaconcuadrcula7concolores-nfasis3"/>
    <w:uiPriority w:val="52"/>
    <w:rsid w:val="00DE3C06"/>
    <w:pPr>
      <w:spacing w:after="0" w:line="240" w:lineRule="auto"/>
    </w:pPr>
    <w:rPr>
      <w:rFonts w:ascii="Nunito" w:eastAsia="Nunito" w:hAnsi="Nunito" w:cs="Times New Roman"/>
      <w:color w:val="124F1A" w:themeColor="accent3" w:themeShade="BF"/>
      <w:kern w:val="0"/>
      <w:lang w:val="es-ES"/>
      <w14:ligatures w14:val="none"/>
    </w:rPr>
    <w:tblPr>
      <w:tblStyleRowBandSize w:val="1"/>
      <w:tblStyleColBandSize w:val="1"/>
      <w:tblInd w:w="0" w:type="nil"/>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character" w:styleId="Mencinsinresolver">
    <w:name w:val="Unresolved Mention"/>
    <w:basedOn w:val="Fuentedeprrafopredeter"/>
    <w:uiPriority w:val="99"/>
    <w:semiHidden/>
    <w:unhideWhenUsed/>
    <w:rsid w:val="00DE3C06"/>
    <w:rPr>
      <w:color w:val="605E5C"/>
      <w:shd w:val="clear" w:color="auto" w:fill="E1DFDD"/>
    </w:rPr>
  </w:style>
  <w:style w:type="character" w:customStyle="1" w:styleId="citation-63">
    <w:name w:val="citation-63"/>
    <w:basedOn w:val="Fuentedeprrafopredeter"/>
    <w:rsid w:val="00DE3C06"/>
  </w:style>
  <w:style w:type="character" w:customStyle="1" w:styleId="citation-62">
    <w:name w:val="citation-62"/>
    <w:basedOn w:val="Fuentedeprrafopredeter"/>
    <w:rsid w:val="00DE3C06"/>
  </w:style>
  <w:style w:type="character" w:customStyle="1" w:styleId="citation-60">
    <w:name w:val="citation-60"/>
    <w:basedOn w:val="Fuentedeprrafopredeter"/>
    <w:rsid w:val="00DE3C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00306553">
      <w:bodyDiv w:val="1"/>
      <w:marLeft w:val="0"/>
      <w:marRight w:val="0"/>
      <w:marTop w:val="0"/>
      <w:marBottom w:val="0"/>
      <w:divBdr>
        <w:top w:val="none" w:sz="0" w:space="0" w:color="auto"/>
        <w:left w:val="none" w:sz="0" w:space="0" w:color="auto"/>
        <w:bottom w:val="none" w:sz="0" w:space="0" w:color="auto"/>
        <w:right w:val="none" w:sz="0" w:space="0" w:color="auto"/>
      </w:divBdr>
    </w:div>
    <w:div w:id="2074814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microsoft.com/office/2007/relationships/hdphoto" Target="media/hdphoto2.wdp"/><Relationship Id="rId18" Type="http://schemas.openxmlformats.org/officeDocument/2006/relationships/chart" Target="charts/chart1.xml"/><Relationship Id="rId26" Type="http://schemas.microsoft.com/office/2007/relationships/hdphoto" Target="media/hdphoto4.wdp"/><Relationship Id="rId39" Type="http://schemas.openxmlformats.org/officeDocument/2006/relationships/footer" Target="footer1.xml"/><Relationship Id="rId21" Type="http://schemas.openxmlformats.org/officeDocument/2006/relationships/hyperlink" Target="https://centralpdet.renovacionterritorio.gov.co/informes-e-investigaciones/" TargetMode="External"/><Relationship Id="rId34" Type="http://schemas.openxmlformats.org/officeDocument/2006/relationships/image" Target="media/image9.png"/><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renovacionterritorio.gov.co/transparencia-acceso-informacion-publica/informacion-de-la-entidad/mapas-y-cartas-descriptivas-de-los-procesos" TargetMode="External"/><Relationship Id="rId20" Type="http://schemas.openxmlformats.org/officeDocument/2006/relationships/hyperlink" Target="https://pactosterritoriales.dnp.gov.co/Sispactos/Paginas/default.aspx" TargetMode="External"/><Relationship Id="rId29" Type="http://schemas.openxmlformats.org/officeDocument/2006/relationships/image" Target="media/image7.pn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enovacionterritorio.gov.co/transparencia-acceso-informacion-publica" TargetMode="External"/><Relationship Id="rId24" Type="http://schemas.openxmlformats.org/officeDocument/2006/relationships/hyperlink" Target="file:///\\marte\OF_PLANEACION\25\130.028%20PLANES\130.028.012%20PlanGesRg\Seg_Riesg" TargetMode="External"/><Relationship Id="rId32" Type="http://schemas.microsoft.com/office/2007/relationships/hdphoto" Target="media/hdphoto5.wdp"/><Relationship Id="rId37" Type="http://schemas.openxmlformats.org/officeDocument/2006/relationships/hyperlink" Target="https://365uact-my.sharepoint.com/:f:/g/personal/comunicacionesart_renovacionterritorio_gov_co/IgBdT299x_TmQ7lAYEq81u1AAVgsJMu-TfscEFxq28oMtok?e=XTRCeW" TargetMode="External"/><Relationship Id="rId40" Type="http://schemas.openxmlformats.org/officeDocument/2006/relationships/fontTable" Target="fontTable.xml"/><Relationship Id="rId5" Type="http://schemas.openxmlformats.org/officeDocument/2006/relationships/footnotes" Target="footnotes.xml"/><Relationship Id="rId15" Type="http://schemas.microsoft.com/office/2007/relationships/hdphoto" Target="media/hdphoto3.wdp"/><Relationship Id="rId23" Type="http://schemas.openxmlformats.org/officeDocument/2006/relationships/chart" Target="charts/chart2.xml"/><Relationship Id="rId28" Type="http://schemas.openxmlformats.org/officeDocument/2006/relationships/image" Target="media/image6.png"/><Relationship Id="rId36" Type="http://schemas.openxmlformats.org/officeDocument/2006/relationships/hyperlink" Target="https://gisart.renovacionterritorio.gov.co/portal/home/organization.html" TargetMode="External"/><Relationship Id="rId10" Type="http://schemas.openxmlformats.org/officeDocument/2006/relationships/hyperlink" Target="https://www.renovacionterritorio.gov.co/la-art/organigrama" TargetMode="External"/><Relationship Id="rId19" Type="http://schemas.openxmlformats.org/officeDocument/2006/relationships/hyperlink" Target="https://sisconpes.dnp.gov.co/sisconpesweb/" TargetMode="External"/><Relationship Id="rId31" Type="http://schemas.openxmlformats.org/officeDocument/2006/relationships/image" Target="media/image8.png"/><Relationship Id="rId4" Type="http://schemas.openxmlformats.org/officeDocument/2006/relationships/webSettings" Target="webSettings.xml"/><Relationship Id="rId9" Type="http://schemas.microsoft.com/office/2007/relationships/hdphoto" Target="media/hdphoto1.wdp"/><Relationship Id="rId14" Type="http://schemas.openxmlformats.org/officeDocument/2006/relationships/image" Target="media/image4.png"/><Relationship Id="rId22" Type="http://schemas.openxmlformats.org/officeDocument/2006/relationships/hyperlink" Target="https://centralpdet.renovacionterritorio.gov.co/documentos-regionales/" TargetMode="External"/><Relationship Id="rId27" Type="http://schemas.openxmlformats.org/officeDocument/2006/relationships/hyperlink" Target="https://portalart.renovacionterritorio.gov.co/" TargetMode="External"/><Relationship Id="rId30" Type="http://schemas.openxmlformats.org/officeDocument/2006/relationships/hyperlink" Target="https://centralpdet.renovacionterritorio.gov.co/" TargetMode="External"/><Relationship Id="rId35" Type="http://schemas.microsoft.com/office/2007/relationships/hdphoto" Target="media/hdphoto6.wdp"/><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hyperlink" Target="https://centralpdet.renovacionterritorio.gov.co/avance-en-iniciativas/" TargetMode="External"/><Relationship Id="rId25" Type="http://schemas.openxmlformats.org/officeDocument/2006/relationships/image" Target="media/image5.png"/><Relationship Id="rId33" Type="http://schemas.openxmlformats.org/officeDocument/2006/relationships/hyperlink" Target="https://art.maps.arcgis.com/home/organization.html" TargetMode="External"/><Relationship Id="rId3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1.emf"/></Relationships>
</file>

<file path=word/_rels/footnotes.xml.rels><?xml version="1.0" encoding="UTF-8" standalone="yes"?>
<Relationships xmlns="http://schemas.openxmlformats.org/package/2006/relationships"><Relationship Id="rId2" Type="http://schemas.openxmlformats.org/officeDocument/2006/relationships/hyperlink" Target="https://centralpdet.renovacionterritorio.gov.co/avance-en-iniciativas/" TargetMode="External"/><Relationship Id="rId1" Type="http://schemas.openxmlformats.org/officeDocument/2006/relationships/hyperlink" Target="https://www.renovacionterritorio.gov.co/transparencia-acceso-informacion-public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emf"/></Relationships>
</file>

<file path=word/charts/_rels/chart1.xml.rels><?xml version="1.0" encoding="UTF-8" standalone="yes"?>
<Relationships xmlns="http://schemas.openxmlformats.org/package/2006/relationships"><Relationship Id="rId3" Type="http://schemas.openxmlformats.org/officeDocument/2006/relationships/oleObject" Target="file:///C:\Users\David%20Jimenez\Downloads\Anterior\cifras%20SGR_SGP_PGN.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marte.honos.col\OF_JURIDICA\26\Gestion_Grupo\Entrega%20de%20cargo%20Luis%20Caicedo%20Gestor%2015\ene%20may%202026\9.%20Empalme\Info%20empalme%20DNP%20Gobierno%20Nacional\ANEXO%2029.D%20Acciones%20de%20tutela%202023-2026.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7777777777777776E-2"/>
          <c:y val="7.8638954920189338E-2"/>
          <c:w val="0.97222225622744429"/>
          <c:h val="0.77989810806033311"/>
        </c:manualLayout>
      </c:layout>
      <c:barChart>
        <c:barDir val="col"/>
        <c:grouping val="clustered"/>
        <c:varyColors val="0"/>
        <c:ser>
          <c:idx val="0"/>
          <c:order val="0"/>
          <c:tx>
            <c:strRef>
              <c:f>Hoja1!$B$44</c:f>
              <c:strCache>
                <c:ptCount val="1"/>
                <c:pt idx="0">
                  <c:v>PGN</c:v>
                </c:pt>
              </c:strCache>
            </c:strRef>
          </c:tx>
          <c:spPr>
            <a:solidFill>
              <a:schemeClr val="bg1">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Hoja1!$C$43:$L$43</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Hoja1!$C$44:$L$44</c:f>
              <c:numCache>
                <c:formatCode>0.0%</c:formatCode>
                <c:ptCount val="10"/>
                <c:pt idx="0">
                  <c:v>0</c:v>
                </c:pt>
                <c:pt idx="1">
                  <c:v>0</c:v>
                </c:pt>
                <c:pt idx="2">
                  <c:v>0</c:v>
                </c:pt>
                <c:pt idx="3">
                  <c:v>9.9500024751249926E-3</c:v>
                </c:pt>
                <c:pt idx="4">
                  <c:v>3.5006166596596874E-2</c:v>
                </c:pt>
                <c:pt idx="5">
                  <c:v>3.3614273618428205E-2</c:v>
                </c:pt>
                <c:pt idx="6">
                  <c:v>3.3797250649849571E-2</c:v>
                </c:pt>
                <c:pt idx="7">
                  <c:v>4.3220948635017735E-2</c:v>
                </c:pt>
                <c:pt idx="8">
                  <c:v>3.9100138330401636E-2</c:v>
                </c:pt>
                <c:pt idx="9">
                  <c:v>3.4724648700691439E-2</c:v>
                </c:pt>
              </c:numCache>
            </c:numRef>
          </c:val>
          <c:extLst>
            <c:ext xmlns:c16="http://schemas.microsoft.com/office/drawing/2014/chart" uri="{C3380CC4-5D6E-409C-BE32-E72D297353CC}">
              <c16:uniqueId val="{00000000-170D-4A7A-9711-20EAF4442096}"/>
            </c:ext>
          </c:extLst>
        </c:ser>
        <c:ser>
          <c:idx val="1"/>
          <c:order val="1"/>
          <c:tx>
            <c:strRef>
              <c:f>Hoja1!$B$45</c:f>
              <c:strCache>
                <c:ptCount val="1"/>
                <c:pt idx="0">
                  <c:v>SGP</c:v>
                </c:pt>
              </c:strCache>
            </c:strRef>
          </c:tx>
          <c:spPr>
            <a:solidFill>
              <a:srgbClr val="156082"/>
            </a:solidFill>
            <a:ln>
              <a:noFill/>
            </a:ln>
            <a:effectLst/>
          </c:spPr>
          <c:invertIfNegative val="0"/>
          <c:dLbls>
            <c:dLbl>
              <c:idx val="1"/>
              <c:layout>
                <c:manualLayout>
                  <c:x val="2.1298825881259885E-3"/>
                  <c:y val="-1.26122815815999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70D-4A7A-9711-20EAF444209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Hoja1!$C$43:$L$43</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Hoja1!$C$45:$L$45</c:f>
              <c:numCache>
                <c:formatCode>0.0%</c:formatCode>
                <c:ptCount val="10"/>
                <c:pt idx="0">
                  <c:v>0.15851541318805321</c:v>
                </c:pt>
                <c:pt idx="1">
                  <c:v>0.1564163322667573</c:v>
                </c:pt>
                <c:pt idx="2">
                  <c:v>0.15868121473587612</c:v>
                </c:pt>
                <c:pt idx="3">
                  <c:v>0.158453864740626</c:v>
                </c:pt>
                <c:pt idx="4">
                  <c:v>0.15973713319730512</c:v>
                </c:pt>
                <c:pt idx="5">
                  <c:v>0.15909574812565438</c:v>
                </c:pt>
                <c:pt idx="6">
                  <c:v>0.16029396983748564</c:v>
                </c:pt>
                <c:pt idx="7">
                  <c:v>0.15948084566200235</c:v>
                </c:pt>
                <c:pt idx="8">
                  <c:v>0.15579761689147623</c:v>
                </c:pt>
                <c:pt idx="9">
                  <c:v>0.15669394704818457</c:v>
                </c:pt>
              </c:numCache>
            </c:numRef>
          </c:val>
          <c:extLst>
            <c:ext xmlns:c16="http://schemas.microsoft.com/office/drawing/2014/chart" uri="{C3380CC4-5D6E-409C-BE32-E72D297353CC}">
              <c16:uniqueId val="{00000002-170D-4A7A-9711-20EAF4442096}"/>
            </c:ext>
          </c:extLst>
        </c:ser>
        <c:ser>
          <c:idx val="2"/>
          <c:order val="2"/>
          <c:tx>
            <c:strRef>
              <c:f>Hoja1!$B$46</c:f>
              <c:strCache>
                <c:ptCount val="1"/>
                <c:pt idx="0">
                  <c:v>SGR</c:v>
                </c:pt>
              </c:strCache>
            </c:strRef>
          </c:tx>
          <c:spPr>
            <a:solidFill>
              <a:srgbClr val="FFC802"/>
            </a:solidFill>
            <a:ln>
              <a:noFill/>
            </a:ln>
            <a:effectLst/>
          </c:spPr>
          <c:invertIfNegative val="0"/>
          <c:dLbls>
            <c:dLbl>
              <c:idx val="0"/>
              <c:layout>
                <c:manualLayout>
                  <c:x val="2.3428708469385853E-2"/>
                  <c:y val="1.26122815815998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70D-4A7A-9711-20EAF4442096}"/>
                </c:ext>
              </c:extLst>
            </c:dLbl>
            <c:dLbl>
              <c:idx val="1"/>
              <c:layout>
                <c:manualLayout>
                  <c:x val="4.259765176251977E-3"/>
                  <c:y val="2.10204693026666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70D-4A7A-9711-20EAF4442096}"/>
                </c:ext>
              </c:extLst>
            </c:dLbl>
            <c:dLbl>
              <c:idx val="2"/>
              <c:layout>
                <c:manualLayout>
                  <c:x val="1.0649412940629903E-2"/>
                  <c:y val="2.10204693026666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70D-4A7A-9711-20EAF444209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Hoja1!$C$43:$L$43</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Hoja1!$C$46:$L$46</c:f>
              <c:numCache>
                <c:formatCode>0.0%</c:formatCode>
                <c:ptCount val="10"/>
                <c:pt idx="0">
                  <c:v>0.10799306860154777</c:v>
                </c:pt>
                <c:pt idx="1">
                  <c:v>0.14969682977306967</c:v>
                </c:pt>
                <c:pt idx="2">
                  <c:v>0.14969682977306964</c:v>
                </c:pt>
                <c:pt idx="3">
                  <c:v>0.18802644545234592</c:v>
                </c:pt>
                <c:pt idx="4">
                  <c:v>0.18802644545234595</c:v>
                </c:pt>
                <c:pt idx="5">
                  <c:v>0.29473857617707455</c:v>
                </c:pt>
                <c:pt idx="6">
                  <c:v>0.2947385761770745</c:v>
                </c:pt>
                <c:pt idx="7">
                  <c:v>0.23719874928295379</c:v>
                </c:pt>
                <c:pt idx="8">
                  <c:v>0.23719874928295381</c:v>
                </c:pt>
                <c:pt idx="9">
                  <c:v>0.25789779574909477</c:v>
                </c:pt>
              </c:numCache>
            </c:numRef>
          </c:val>
          <c:extLst>
            <c:ext xmlns:c16="http://schemas.microsoft.com/office/drawing/2014/chart" uri="{C3380CC4-5D6E-409C-BE32-E72D297353CC}">
              <c16:uniqueId val="{00000006-170D-4A7A-9711-20EAF4442096}"/>
            </c:ext>
          </c:extLst>
        </c:ser>
        <c:dLbls>
          <c:showLegendKey val="0"/>
          <c:showVal val="0"/>
          <c:showCatName val="0"/>
          <c:showSerName val="0"/>
          <c:showPercent val="0"/>
          <c:showBubbleSize val="0"/>
        </c:dLbls>
        <c:gapWidth val="219"/>
        <c:overlap val="-27"/>
        <c:axId val="376959904"/>
        <c:axId val="1031782112"/>
      </c:barChart>
      <c:catAx>
        <c:axId val="376959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031782112"/>
        <c:crosses val="autoZero"/>
        <c:auto val="1"/>
        <c:lblAlgn val="ctr"/>
        <c:lblOffset val="100"/>
        <c:noMultiLvlLbl val="0"/>
      </c:catAx>
      <c:valAx>
        <c:axId val="1031782112"/>
        <c:scaling>
          <c:orientation val="minMax"/>
        </c:scaling>
        <c:delete val="1"/>
        <c:axPos val="l"/>
        <c:numFmt formatCode="0.0%" sourceLinked="1"/>
        <c:majorTickMark val="none"/>
        <c:minorTickMark val="none"/>
        <c:tickLblPos val="nextTo"/>
        <c:crossAx val="376959904"/>
        <c:crosses val="autoZero"/>
        <c:crossBetween val="between"/>
      </c:valAx>
      <c:spPr>
        <a:noFill/>
        <a:ln>
          <a:noFill/>
        </a:ln>
        <a:effectLst/>
      </c:spPr>
    </c:plotArea>
    <c:legend>
      <c:legendPos val="b"/>
      <c:layout>
        <c:manualLayout>
          <c:xMode val="edge"/>
          <c:yMode val="edge"/>
          <c:x val="0.13854835923572431"/>
          <c:y val="0.14288986763724959"/>
          <c:w val="0.34165429825399934"/>
          <c:h val="7.0944580443018809E-2"/>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O"/>
              <a:t>Autos admisorios</a:t>
            </a:r>
            <a:r>
              <a:rPr lang="es-CO" baseline="0"/>
              <a:t> notificados</a:t>
            </a:r>
            <a:endParaRPr lang="es-CO"/>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manualLayout>
          <c:layoutTarget val="inner"/>
          <c:xMode val="edge"/>
          <c:yMode val="edge"/>
          <c:x val="0.10980314960629919"/>
          <c:y val="0.18560185185185185"/>
          <c:w val="0.89019685039370078"/>
          <c:h val="0.54380322251385238"/>
        </c:manualLayout>
      </c:layout>
      <c:barChart>
        <c:barDir val="col"/>
        <c:grouping val="clustered"/>
        <c:varyColors val="0"/>
        <c:ser>
          <c:idx val="0"/>
          <c:order val="0"/>
          <c:tx>
            <c:strRef>
              <c:f>Vigencias!$B$1</c:f>
              <c:strCache>
                <c:ptCount val="1"/>
                <c:pt idx="0">
                  <c:v>Acciones de tutela notificadas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Vigencias!$A$3:$A$7</c:f>
              <c:strCache>
                <c:ptCount val="5"/>
                <c:pt idx="0">
                  <c:v>2023</c:v>
                </c:pt>
                <c:pt idx="1">
                  <c:v>2024</c:v>
                </c:pt>
                <c:pt idx="2">
                  <c:v>2025</c:v>
                </c:pt>
                <c:pt idx="3">
                  <c:v>2026</c:v>
                </c:pt>
                <c:pt idx="4">
                  <c:v>Total</c:v>
                </c:pt>
              </c:strCache>
            </c:strRef>
          </c:cat>
          <c:val>
            <c:numRef>
              <c:f>Vigencias!$B$3:$B$7</c:f>
              <c:numCache>
                <c:formatCode>General</c:formatCode>
                <c:ptCount val="5"/>
                <c:pt idx="0">
                  <c:v>109</c:v>
                </c:pt>
                <c:pt idx="1">
                  <c:v>88</c:v>
                </c:pt>
                <c:pt idx="2">
                  <c:v>91</c:v>
                </c:pt>
                <c:pt idx="3">
                  <c:v>51</c:v>
                </c:pt>
                <c:pt idx="4">
                  <c:v>362</c:v>
                </c:pt>
              </c:numCache>
            </c:numRef>
          </c:val>
          <c:extLst>
            <c:ext xmlns:c16="http://schemas.microsoft.com/office/drawing/2014/chart" uri="{C3380CC4-5D6E-409C-BE32-E72D297353CC}">
              <c16:uniqueId val="{00000000-4EF4-4C95-ACCE-3F8A38605408}"/>
            </c:ext>
          </c:extLst>
        </c:ser>
        <c:ser>
          <c:idx val="1"/>
          <c:order val="1"/>
          <c:tx>
            <c:strRef>
              <c:f>Vigencias!$C$1</c:f>
              <c:strCache>
                <c:ptCount val="1"/>
                <c:pt idx="0">
                  <c:v>Favorable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Vigencias!$A$3:$A$7</c:f>
              <c:strCache>
                <c:ptCount val="5"/>
                <c:pt idx="0">
                  <c:v>2023</c:v>
                </c:pt>
                <c:pt idx="1">
                  <c:v>2024</c:v>
                </c:pt>
                <c:pt idx="2">
                  <c:v>2025</c:v>
                </c:pt>
                <c:pt idx="3">
                  <c:v>2026</c:v>
                </c:pt>
                <c:pt idx="4">
                  <c:v>Total</c:v>
                </c:pt>
              </c:strCache>
            </c:strRef>
          </c:cat>
          <c:val>
            <c:numRef>
              <c:f>Vigencias!$C$3:$C$7</c:f>
              <c:numCache>
                <c:formatCode>General</c:formatCode>
                <c:ptCount val="5"/>
                <c:pt idx="0">
                  <c:v>89</c:v>
                </c:pt>
                <c:pt idx="1">
                  <c:v>76</c:v>
                </c:pt>
                <c:pt idx="2">
                  <c:v>74</c:v>
                </c:pt>
                <c:pt idx="3">
                  <c:v>34</c:v>
                </c:pt>
                <c:pt idx="4">
                  <c:v>295</c:v>
                </c:pt>
              </c:numCache>
            </c:numRef>
          </c:val>
          <c:extLst>
            <c:ext xmlns:c16="http://schemas.microsoft.com/office/drawing/2014/chart" uri="{C3380CC4-5D6E-409C-BE32-E72D297353CC}">
              <c16:uniqueId val="{00000001-4EF4-4C95-ACCE-3F8A38605408}"/>
            </c:ext>
          </c:extLst>
        </c:ser>
        <c:ser>
          <c:idx val="2"/>
          <c:order val="2"/>
          <c:tx>
            <c:strRef>
              <c:f>Vigencias!$D$1</c:f>
              <c:strCache>
                <c:ptCount val="1"/>
                <c:pt idx="0">
                  <c:v>Desfavorable </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Vigencias!$A$3:$A$7</c:f>
              <c:strCache>
                <c:ptCount val="5"/>
                <c:pt idx="0">
                  <c:v>2023</c:v>
                </c:pt>
                <c:pt idx="1">
                  <c:v>2024</c:v>
                </c:pt>
                <c:pt idx="2">
                  <c:v>2025</c:v>
                </c:pt>
                <c:pt idx="3">
                  <c:v>2026</c:v>
                </c:pt>
                <c:pt idx="4">
                  <c:v>Total</c:v>
                </c:pt>
              </c:strCache>
            </c:strRef>
          </c:cat>
          <c:val>
            <c:numRef>
              <c:f>Vigencias!$D$3:$D$7</c:f>
              <c:numCache>
                <c:formatCode>General</c:formatCode>
                <c:ptCount val="5"/>
                <c:pt idx="0">
                  <c:v>20</c:v>
                </c:pt>
                <c:pt idx="1">
                  <c:v>12</c:v>
                </c:pt>
                <c:pt idx="2">
                  <c:v>17</c:v>
                </c:pt>
                <c:pt idx="3">
                  <c:v>8</c:v>
                </c:pt>
                <c:pt idx="4">
                  <c:v>58</c:v>
                </c:pt>
              </c:numCache>
            </c:numRef>
          </c:val>
          <c:extLst>
            <c:ext xmlns:c16="http://schemas.microsoft.com/office/drawing/2014/chart" uri="{C3380CC4-5D6E-409C-BE32-E72D297353CC}">
              <c16:uniqueId val="{00000002-4EF4-4C95-ACCE-3F8A38605408}"/>
            </c:ext>
          </c:extLst>
        </c:ser>
        <c:ser>
          <c:idx val="3"/>
          <c:order val="3"/>
          <c:tx>
            <c:strRef>
              <c:f>Vigencias!$E$1</c:f>
              <c:strCache>
                <c:ptCount val="1"/>
                <c:pt idx="0">
                  <c:v>Pendientes de notificación de decisión </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Vigencias!$A$3:$A$7</c:f>
              <c:strCache>
                <c:ptCount val="5"/>
                <c:pt idx="0">
                  <c:v>2023</c:v>
                </c:pt>
                <c:pt idx="1">
                  <c:v>2024</c:v>
                </c:pt>
                <c:pt idx="2">
                  <c:v>2025</c:v>
                </c:pt>
                <c:pt idx="3">
                  <c:v>2026</c:v>
                </c:pt>
                <c:pt idx="4">
                  <c:v>Total</c:v>
                </c:pt>
              </c:strCache>
            </c:strRef>
          </c:cat>
          <c:val>
            <c:numRef>
              <c:f>Vigencias!$E$3:$E$7</c:f>
              <c:numCache>
                <c:formatCode>General</c:formatCode>
                <c:ptCount val="5"/>
                <c:pt idx="0">
                  <c:v>0</c:v>
                </c:pt>
                <c:pt idx="1">
                  <c:v>0</c:v>
                </c:pt>
                <c:pt idx="2">
                  <c:v>0</c:v>
                </c:pt>
                <c:pt idx="3">
                  <c:v>8</c:v>
                </c:pt>
                <c:pt idx="4">
                  <c:v>8</c:v>
                </c:pt>
              </c:numCache>
            </c:numRef>
          </c:val>
          <c:extLst>
            <c:ext xmlns:c16="http://schemas.microsoft.com/office/drawing/2014/chart" uri="{C3380CC4-5D6E-409C-BE32-E72D297353CC}">
              <c16:uniqueId val="{00000003-4EF4-4C95-ACCE-3F8A38605408}"/>
            </c:ext>
          </c:extLst>
        </c:ser>
        <c:dLbls>
          <c:dLblPos val="outEnd"/>
          <c:showLegendKey val="0"/>
          <c:showVal val="1"/>
          <c:showCatName val="0"/>
          <c:showSerName val="0"/>
          <c:showPercent val="0"/>
          <c:showBubbleSize val="0"/>
        </c:dLbls>
        <c:gapWidth val="219"/>
        <c:overlap val="-27"/>
        <c:axId val="357334048"/>
        <c:axId val="357333568"/>
      </c:barChart>
      <c:catAx>
        <c:axId val="357334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357333568"/>
        <c:crosses val="autoZero"/>
        <c:auto val="1"/>
        <c:lblAlgn val="ctr"/>
        <c:lblOffset val="100"/>
        <c:noMultiLvlLbl val="0"/>
      </c:catAx>
      <c:valAx>
        <c:axId val="3573335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3573340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97</Pages>
  <Words>29936</Words>
  <Characters>164653</Characters>
  <Application>Microsoft Office Word</Application>
  <DocSecurity>0</DocSecurity>
  <Lines>1372</Lines>
  <Paragraphs>388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194201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Salomé Mateus Marín</dc:creator>
  <cp:keywords/>
  <dc:description/>
  <cp:lastModifiedBy>Pedro Jose Pineda</cp:lastModifiedBy>
  <cp:revision>3</cp:revision>
  <dcterms:created xsi:type="dcterms:W3CDTF">2026-07-09T21:25:00Z</dcterms:created>
  <dcterms:modified xsi:type="dcterms:W3CDTF">2026-07-09T23:07:00Z</dcterms:modified>
</cp:coreProperties>
</file>